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D24F" w14:textId="4BD87A5B" w:rsidR="007520FE" w:rsidRPr="009B4B17" w:rsidRDefault="00286584" w:rsidP="00C81F2C">
      <w:pPr>
        <w:tabs>
          <w:tab w:val="left" w:pos="360"/>
        </w:tabs>
        <w:autoSpaceDE w:val="0"/>
        <w:autoSpaceDN w:val="0"/>
        <w:adjustRightInd w:val="0"/>
        <w:spacing w:after="0" w:line="240" w:lineRule="auto"/>
        <w:contextualSpacing/>
        <w:jc w:val="center"/>
        <w:rPr>
          <w:rFonts w:ascii="Times New Roman" w:hAnsi="Times New Roman" w:cs="Times New Roman"/>
          <w:b/>
          <w:sz w:val="32"/>
          <w:szCs w:val="32"/>
        </w:rPr>
      </w:pPr>
      <w:r w:rsidRPr="009B4B17">
        <w:rPr>
          <w:rFonts w:ascii="Times New Roman" w:hAnsi="Times New Roman" w:cs="Times New Roman"/>
          <w:b/>
          <w:sz w:val="32"/>
          <w:szCs w:val="32"/>
        </w:rPr>
        <w:t>Duke</w:t>
      </w:r>
      <w:r w:rsidR="007520FE" w:rsidRPr="009B4B17">
        <w:rPr>
          <w:rFonts w:ascii="Times New Roman" w:hAnsi="Times New Roman" w:cs="Times New Roman"/>
          <w:b/>
          <w:sz w:val="32"/>
          <w:szCs w:val="32"/>
        </w:rPr>
        <w:t xml:space="preserve"> University</w:t>
      </w:r>
    </w:p>
    <w:p w14:paraId="60B14BC4" w14:textId="37D4E6B1" w:rsidR="00B54593" w:rsidRPr="00196C9A" w:rsidRDefault="007520FE" w:rsidP="00C81F2C">
      <w:pPr>
        <w:tabs>
          <w:tab w:val="left" w:pos="360"/>
        </w:tabs>
        <w:autoSpaceDE w:val="0"/>
        <w:autoSpaceDN w:val="0"/>
        <w:adjustRightInd w:val="0"/>
        <w:spacing w:after="0" w:line="240" w:lineRule="auto"/>
        <w:contextualSpacing/>
        <w:jc w:val="center"/>
        <w:rPr>
          <w:rFonts w:ascii="Times New Roman" w:hAnsi="Times New Roman" w:cs="Times New Roman"/>
          <w:b/>
          <w:sz w:val="28"/>
          <w:szCs w:val="28"/>
        </w:rPr>
      </w:pPr>
      <w:r w:rsidRPr="00196C9A">
        <w:rPr>
          <w:rFonts w:ascii="Times New Roman" w:hAnsi="Times New Roman" w:cs="Times New Roman"/>
          <w:b/>
          <w:sz w:val="28"/>
          <w:szCs w:val="28"/>
        </w:rPr>
        <w:t>DURC/PEPP</w:t>
      </w:r>
      <w:r w:rsidR="00E73EE1" w:rsidRPr="00196C9A">
        <w:rPr>
          <w:rFonts w:ascii="Times New Roman" w:hAnsi="Times New Roman" w:cs="Times New Roman"/>
          <w:b/>
          <w:sz w:val="28"/>
          <w:szCs w:val="28"/>
        </w:rPr>
        <w:t xml:space="preserve"> Risk Mitigation Plan</w:t>
      </w:r>
      <w:r w:rsidRPr="00196C9A">
        <w:rPr>
          <w:rFonts w:ascii="Times New Roman" w:hAnsi="Times New Roman" w:cs="Times New Roman"/>
          <w:b/>
          <w:sz w:val="28"/>
          <w:szCs w:val="28"/>
        </w:rPr>
        <w:t xml:space="preserve"> (RMP)</w:t>
      </w:r>
    </w:p>
    <w:p w14:paraId="02684FEE" w14:textId="77777777" w:rsidR="009C3905" w:rsidRPr="00196C9A" w:rsidRDefault="009C3905" w:rsidP="00C81F2C">
      <w:pPr>
        <w:tabs>
          <w:tab w:val="left" w:pos="360"/>
        </w:tabs>
        <w:autoSpaceDE w:val="0"/>
        <w:autoSpaceDN w:val="0"/>
        <w:adjustRightInd w:val="0"/>
        <w:spacing w:after="0" w:line="240" w:lineRule="auto"/>
        <w:contextualSpacing/>
        <w:rPr>
          <w:rFonts w:ascii="Times New Roman" w:hAnsi="Times New Roman" w:cs="Times New Roman"/>
        </w:rPr>
      </w:pPr>
    </w:p>
    <w:p w14:paraId="3097CAF2" w14:textId="7988930E" w:rsidR="004F45B8" w:rsidRPr="00196C9A" w:rsidRDefault="007520FE" w:rsidP="00C81F2C">
      <w:pPr>
        <w:pStyle w:val="Heading2"/>
        <w:tabs>
          <w:tab w:val="left" w:pos="360"/>
        </w:tabs>
        <w:spacing w:before="0" w:beforeAutospacing="0" w:after="0" w:afterAutospacing="0"/>
        <w:contextualSpacing/>
        <w:rPr>
          <w:rFonts w:eastAsiaTheme="minorEastAsia"/>
          <w:b w:val="0"/>
          <w:bCs w:val="0"/>
          <w:sz w:val="20"/>
          <w:szCs w:val="20"/>
        </w:rPr>
      </w:pPr>
      <w:bookmarkStart w:id="0" w:name="_Hlk182479917"/>
      <w:r w:rsidRPr="00196C9A">
        <w:rPr>
          <w:rFonts w:eastAsiaTheme="minorEastAsia"/>
          <w:sz w:val="20"/>
          <w:szCs w:val="20"/>
        </w:rPr>
        <w:t>Instructions:</w:t>
      </w:r>
      <w:r w:rsidRPr="00196C9A">
        <w:rPr>
          <w:rFonts w:eastAsiaTheme="minorEastAsia"/>
          <w:b w:val="0"/>
          <w:bCs w:val="0"/>
          <w:sz w:val="20"/>
          <w:szCs w:val="20"/>
        </w:rPr>
        <w:t xml:space="preserve"> This Risk Mitigation Plan (RMP) template must be utilized </w:t>
      </w:r>
      <w:r w:rsidR="00196C9A">
        <w:rPr>
          <w:rFonts w:eastAsiaTheme="minorEastAsia"/>
          <w:b w:val="0"/>
          <w:bCs w:val="0"/>
          <w:sz w:val="20"/>
          <w:szCs w:val="20"/>
        </w:rPr>
        <w:t xml:space="preserve">as a starting point </w:t>
      </w:r>
      <w:r w:rsidRPr="00196C9A">
        <w:rPr>
          <w:rFonts w:eastAsiaTheme="minorEastAsia"/>
          <w:b w:val="0"/>
          <w:bCs w:val="0"/>
          <w:sz w:val="20"/>
          <w:szCs w:val="20"/>
        </w:rPr>
        <w:t xml:space="preserve">to develop the RMP for any study determined to fall under the </w:t>
      </w:r>
      <w:r w:rsidRPr="00196C9A">
        <w:rPr>
          <w:rFonts w:eastAsiaTheme="minorEastAsia"/>
          <w:b w:val="0"/>
          <w:bCs w:val="0"/>
          <w:sz w:val="20"/>
          <w:szCs w:val="20"/>
        </w:rPr>
        <w:t>May 2024 </w:t>
      </w:r>
      <w:hyperlink r:id="rId8" w:history="1">
        <w:r w:rsidRPr="00196C9A">
          <w:rPr>
            <w:rStyle w:val="Hyperlink"/>
            <w:rFonts w:eastAsiaTheme="minorEastAsia"/>
            <w:b w:val="0"/>
            <w:bCs w:val="0"/>
            <w:sz w:val="20"/>
            <w:szCs w:val="20"/>
          </w:rPr>
          <w:t>U.S. Government Policy for Oversight of Dual Use Research of Concern (DURC) and Pathogens with Enhanced Pandemic Potential (PEPP)</w:t>
        </w:r>
      </w:hyperlink>
      <w:r w:rsidRPr="00196C9A">
        <w:rPr>
          <w:rFonts w:eastAsiaTheme="minorEastAsia"/>
          <w:b w:val="0"/>
          <w:bCs w:val="0"/>
          <w:sz w:val="20"/>
          <w:szCs w:val="20"/>
        </w:rPr>
        <w:t>  (2024 USG Policy)</w:t>
      </w:r>
      <w:r w:rsidRPr="00196C9A">
        <w:rPr>
          <w:rFonts w:eastAsiaTheme="minorEastAsia"/>
          <w:b w:val="0"/>
          <w:bCs w:val="0"/>
          <w:sz w:val="20"/>
          <w:szCs w:val="20"/>
        </w:rPr>
        <w:t xml:space="preserve">. </w:t>
      </w:r>
      <w:r w:rsidR="00196C9A">
        <w:rPr>
          <w:rFonts w:eastAsiaTheme="minorEastAsia"/>
          <w:b w:val="0"/>
          <w:bCs w:val="0"/>
          <w:sz w:val="20"/>
          <w:szCs w:val="20"/>
        </w:rPr>
        <w:t xml:space="preserve">An unedited version of this template is NOT the final document that should be submitted to the Funding Agency. Project and location specific information must be entered into </w:t>
      </w:r>
      <w:r w:rsidR="009B4B17">
        <w:rPr>
          <w:rFonts w:eastAsiaTheme="minorEastAsia"/>
          <w:b w:val="0"/>
          <w:bCs w:val="0"/>
          <w:sz w:val="20"/>
          <w:szCs w:val="20"/>
        </w:rPr>
        <w:t>each section below.</w:t>
      </w:r>
      <w:r w:rsidR="00196C9A">
        <w:rPr>
          <w:rFonts w:eastAsiaTheme="minorEastAsia"/>
          <w:b w:val="0"/>
          <w:bCs w:val="0"/>
          <w:sz w:val="20"/>
          <w:szCs w:val="20"/>
        </w:rPr>
        <w:t xml:space="preserve"> </w:t>
      </w:r>
      <w:r w:rsidRPr="00196C9A">
        <w:rPr>
          <w:rFonts w:eastAsiaTheme="minorEastAsia"/>
          <w:b w:val="0"/>
          <w:bCs w:val="0"/>
          <w:sz w:val="20"/>
          <w:szCs w:val="20"/>
        </w:rPr>
        <w:t xml:space="preserve">The Institutional Review Entity (IRE) and the Funding Agency must review and approve the RMP before work can begin. </w:t>
      </w:r>
      <w:r w:rsidR="00196C9A" w:rsidRPr="00196C9A">
        <w:rPr>
          <w:rFonts w:eastAsiaTheme="minorEastAsia"/>
          <w:b w:val="0"/>
          <w:bCs w:val="0"/>
          <w:sz w:val="20"/>
          <w:szCs w:val="20"/>
        </w:rPr>
        <w:t>If you have any questions, please contact the Institutional Contact for Dual Use Research (ICDUR) listed below.</w:t>
      </w:r>
    </w:p>
    <w:p w14:paraId="57943CA0" w14:textId="77777777" w:rsidR="007520FE" w:rsidRPr="00196C9A" w:rsidRDefault="007520FE" w:rsidP="00C81F2C">
      <w:pPr>
        <w:pStyle w:val="Heading2"/>
        <w:tabs>
          <w:tab w:val="left" w:pos="360"/>
        </w:tabs>
        <w:spacing w:before="0" w:beforeAutospacing="0" w:after="0" w:afterAutospacing="0"/>
        <w:contextualSpacing/>
        <w:rPr>
          <w:rFonts w:eastAsiaTheme="minorEastAsia"/>
          <w:sz w:val="24"/>
          <w:szCs w:val="24"/>
        </w:rPr>
      </w:pPr>
    </w:p>
    <w:p w14:paraId="68BE5F71" w14:textId="77777777" w:rsidR="007520FE" w:rsidRPr="00196C9A" w:rsidRDefault="007520FE" w:rsidP="00C81F2C">
      <w:pPr>
        <w:pStyle w:val="Heading2"/>
        <w:tabs>
          <w:tab w:val="left" w:pos="360"/>
        </w:tabs>
        <w:spacing w:before="0" w:beforeAutospacing="0" w:after="0" w:afterAutospacing="0"/>
        <w:contextualSpacing/>
        <w:rPr>
          <w:rFonts w:eastAsiaTheme="minorEastAsia"/>
          <w:sz w:val="24"/>
          <w:szCs w:val="24"/>
        </w:rPr>
      </w:pPr>
    </w:p>
    <w:p w14:paraId="6B3AD2BE" w14:textId="6CE6AE6C" w:rsidR="004F45B8" w:rsidRPr="00196C9A" w:rsidRDefault="004F45B8" w:rsidP="00C81F2C">
      <w:pPr>
        <w:pStyle w:val="Heading2"/>
        <w:tabs>
          <w:tab w:val="left" w:pos="360"/>
        </w:tabs>
        <w:spacing w:before="0" w:beforeAutospacing="0" w:after="0" w:afterAutospacing="0"/>
        <w:contextualSpacing/>
        <w:rPr>
          <w:rFonts w:eastAsiaTheme="minorEastAsia"/>
          <w:sz w:val="24"/>
          <w:szCs w:val="24"/>
        </w:rPr>
      </w:pPr>
      <w:r w:rsidRPr="00196C9A">
        <w:rPr>
          <w:rFonts w:eastAsiaTheme="minorEastAsia"/>
          <w:sz w:val="24"/>
          <w:szCs w:val="24"/>
        </w:rPr>
        <w:t>Contact Information:</w:t>
      </w:r>
    </w:p>
    <w:tbl>
      <w:tblPr>
        <w:tblStyle w:val="TableGrid"/>
        <w:tblW w:w="0" w:type="auto"/>
        <w:tblLook w:val="04A0" w:firstRow="1" w:lastRow="0" w:firstColumn="1" w:lastColumn="0" w:noHBand="0" w:noVBand="1"/>
      </w:tblPr>
      <w:tblGrid>
        <w:gridCol w:w="2697"/>
        <w:gridCol w:w="2697"/>
        <w:gridCol w:w="2698"/>
        <w:gridCol w:w="2698"/>
      </w:tblGrid>
      <w:tr w:rsidR="00286584" w:rsidRPr="00196C9A" w14:paraId="5875E744" w14:textId="77777777" w:rsidTr="00286584">
        <w:tc>
          <w:tcPr>
            <w:tcW w:w="2697" w:type="dxa"/>
          </w:tcPr>
          <w:p w14:paraId="18F6329B" w14:textId="4AC519BB" w:rsidR="00286584" w:rsidRPr="009B4B17" w:rsidRDefault="00286584" w:rsidP="00C81F2C">
            <w:pPr>
              <w:pStyle w:val="Heading2"/>
              <w:tabs>
                <w:tab w:val="left" w:pos="360"/>
              </w:tabs>
              <w:spacing w:before="0" w:beforeAutospacing="0" w:after="0" w:afterAutospacing="0"/>
              <w:contextualSpacing/>
              <w:rPr>
                <w:rFonts w:eastAsiaTheme="minorEastAsia"/>
                <w:sz w:val="22"/>
                <w:szCs w:val="22"/>
              </w:rPr>
            </w:pPr>
            <w:r w:rsidRPr="009B4B17">
              <w:rPr>
                <w:rFonts w:eastAsiaTheme="minorEastAsia"/>
                <w:sz w:val="22"/>
                <w:szCs w:val="22"/>
              </w:rPr>
              <w:t>Role:</w:t>
            </w:r>
          </w:p>
        </w:tc>
        <w:tc>
          <w:tcPr>
            <w:tcW w:w="2697" w:type="dxa"/>
          </w:tcPr>
          <w:p w14:paraId="3800225A" w14:textId="67E1F862" w:rsidR="00286584" w:rsidRPr="009B4B17" w:rsidRDefault="00286584" w:rsidP="00C81F2C">
            <w:pPr>
              <w:pStyle w:val="Heading2"/>
              <w:tabs>
                <w:tab w:val="left" w:pos="360"/>
              </w:tabs>
              <w:spacing w:before="0" w:beforeAutospacing="0" w:after="0" w:afterAutospacing="0"/>
              <w:contextualSpacing/>
              <w:rPr>
                <w:rFonts w:eastAsiaTheme="minorEastAsia"/>
                <w:sz w:val="22"/>
                <w:szCs w:val="22"/>
              </w:rPr>
            </w:pPr>
            <w:r w:rsidRPr="009B4B17">
              <w:rPr>
                <w:rFonts w:eastAsiaTheme="minorEastAsia"/>
                <w:sz w:val="22"/>
                <w:szCs w:val="22"/>
              </w:rPr>
              <w:t>Name:</w:t>
            </w:r>
          </w:p>
        </w:tc>
        <w:tc>
          <w:tcPr>
            <w:tcW w:w="2698" w:type="dxa"/>
          </w:tcPr>
          <w:p w14:paraId="78329974" w14:textId="009A28DD" w:rsidR="00286584" w:rsidRPr="009B4B17" w:rsidRDefault="00084E7E" w:rsidP="00C81F2C">
            <w:pPr>
              <w:pStyle w:val="Heading2"/>
              <w:tabs>
                <w:tab w:val="left" w:pos="360"/>
              </w:tabs>
              <w:spacing w:before="0" w:beforeAutospacing="0" w:after="0" w:afterAutospacing="0"/>
              <w:contextualSpacing/>
              <w:rPr>
                <w:rFonts w:eastAsiaTheme="minorEastAsia"/>
                <w:sz w:val="22"/>
                <w:szCs w:val="22"/>
              </w:rPr>
            </w:pPr>
            <w:r w:rsidRPr="009B4B17">
              <w:rPr>
                <w:rFonts w:eastAsiaTheme="minorEastAsia"/>
                <w:sz w:val="22"/>
                <w:szCs w:val="22"/>
              </w:rPr>
              <w:t>Department:</w:t>
            </w:r>
          </w:p>
        </w:tc>
        <w:tc>
          <w:tcPr>
            <w:tcW w:w="2698" w:type="dxa"/>
          </w:tcPr>
          <w:p w14:paraId="4835F146" w14:textId="4DCBDB59" w:rsidR="00286584" w:rsidRPr="009B4B17" w:rsidRDefault="00084E7E" w:rsidP="00C81F2C">
            <w:pPr>
              <w:pStyle w:val="Heading2"/>
              <w:tabs>
                <w:tab w:val="left" w:pos="360"/>
              </w:tabs>
              <w:spacing w:before="0" w:beforeAutospacing="0" w:after="0" w:afterAutospacing="0"/>
              <w:contextualSpacing/>
              <w:rPr>
                <w:rFonts w:eastAsiaTheme="minorEastAsia"/>
                <w:sz w:val="22"/>
                <w:szCs w:val="22"/>
              </w:rPr>
            </w:pPr>
            <w:r w:rsidRPr="009B4B17">
              <w:rPr>
                <w:rFonts w:eastAsiaTheme="minorEastAsia"/>
                <w:sz w:val="22"/>
                <w:szCs w:val="22"/>
              </w:rPr>
              <w:t>Contact:</w:t>
            </w:r>
          </w:p>
        </w:tc>
      </w:tr>
      <w:bookmarkEnd w:id="0"/>
      <w:tr w:rsidR="00286584" w:rsidRPr="00196C9A" w14:paraId="5646D8C8" w14:textId="77777777" w:rsidTr="00286584">
        <w:tc>
          <w:tcPr>
            <w:tcW w:w="2697" w:type="dxa"/>
          </w:tcPr>
          <w:p w14:paraId="43F507E9" w14:textId="63BA94A8" w:rsidR="00286584" w:rsidRPr="00196C9A" w:rsidRDefault="00286584" w:rsidP="00C81F2C">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Principal Investigator (PI)</w:t>
            </w:r>
          </w:p>
        </w:tc>
        <w:tc>
          <w:tcPr>
            <w:tcW w:w="2697" w:type="dxa"/>
          </w:tcPr>
          <w:p w14:paraId="2A3D4392" w14:textId="77777777" w:rsidR="00286584" w:rsidRPr="00196C9A" w:rsidRDefault="00286584" w:rsidP="00C81F2C">
            <w:pPr>
              <w:pStyle w:val="Heading2"/>
              <w:tabs>
                <w:tab w:val="left" w:pos="360"/>
              </w:tabs>
              <w:spacing w:before="0" w:beforeAutospacing="0" w:after="0" w:afterAutospacing="0"/>
              <w:contextualSpacing/>
              <w:rPr>
                <w:rFonts w:eastAsiaTheme="minorEastAsia"/>
                <w:b w:val="0"/>
                <w:bCs w:val="0"/>
                <w:sz w:val="22"/>
                <w:szCs w:val="22"/>
              </w:rPr>
            </w:pPr>
          </w:p>
        </w:tc>
        <w:tc>
          <w:tcPr>
            <w:tcW w:w="2698" w:type="dxa"/>
          </w:tcPr>
          <w:p w14:paraId="0B560E49" w14:textId="77777777" w:rsidR="00286584" w:rsidRPr="00196C9A" w:rsidRDefault="00286584" w:rsidP="00C81F2C">
            <w:pPr>
              <w:pStyle w:val="Heading2"/>
              <w:tabs>
                <w:tab w:val="left" w:pos="360"/>
              </w:tabs>
              <w:spacing w:before="0" w:beforeAutospacing="0" w:after="0" w:afterAutospacing="0"/>
              <w:contextualSpacing/>
              <w:rPr>
                <w:rFonts w:eastAsiaTheme="minorEastAsia"/>
                <w:b w:val="0"/>
                <w:bCs w:val="0"/>
                <w:sz w:val="22"/>
                <w:szCs w:val="22"/>
              </w:rPr>
            </w:pPr>
          </w:p>
        </w:tc>
        <w:tc>
          <w:tcPr>
            <w:tcW w:w="2698" w:type="dxa"/>
          </w:tcPr>
          <w:p w14:paraId="67424755"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Email:</w:t>
            </w:r>
          </w:p>
          <w:p w14:paraId="2E90048F"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p w14:paraId="7638D4D5"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p w14:paraId="27AC7846" w14:textId="77777777" w:rsidR="00286584"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Phone number:</w:t>
            </w:r>
          </w:p>
          <w:p w14:paraId="204CDB3E"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p w14:paraId="7F6EBC9D" w14:textId="07A53080"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tc>
      </w:tr>
      <w:tr w:rsidR="00286584" w:rsidRPr="00196C9A" w14:paraId="44B47EEC" w14:textId="77777777" w:rsidTr="00286584">
        <w:tc>
          <w:tcPr>
            <w:tcW w:w="2697" w:type="dxa"/>
          </w:tcPr>
          <w:p w14:paraId="76F75355" w14:textId="5C425CA7" w:rsidR="00286584" w:rsidRPr="00196C9A" w:rsidRDefault="00286584" w:rsidP="00C81F2C">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Institutional Contact for Dual Use Research (ICDUR)</w:t>
            </w:r>
          </w:p>
        </w:tc>
        <w:tc>
          <w:tcPr>
            <w:tcW w:w="2697" w:type="dxa"/>
          </w:tcPr>
          <w:p w14:paraId="0944EC8D" w14:textId="190C3597" w:rsidR="00286584" w:rsidRPr="00196C9A" w:rsidRDefault="00FE1219" w:rsidP="00C81F2C">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Antony Schwartz</w:t>
            </w:r>
            <w:r w:rsidR="00196C9A" w:rsidRPr="00196C9A">
              <w:rPr>
                <w:rFonts w:eastAsiaTheme="minorEastAsia"/>
                <w:b w:val="0"/>
                <w:bCs w:val="0"/>
                <w:sz w:val="22"/>
                <w:szCs w:val="22"/>
              </w:rPr>
              <w:t>, PhD</w:t>
            </w:r>
          </w:p>
        </w:tc>
        <w:tc>
          <w:tcPr>
            <w:tcW w:w="2698" w:type="dxa"/>
          </w:tcPr>
          <w:p w14:paraId="34339CB0" w14:textId="015F37C3" w:rsidR="00286584" w:rsidRPr="00196C9A" w:rsidRDefault="00196C9A" w:rsidP="00C81F2C">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Occupational and Environmental Safety Office,</w:t>
            </w:r>
            <w:r w:rsidR="00FE1219" w:rsidRPr="00196C9A">
              <w:rPr>
                <w:rFonts w:eastAsiaTheme="minorEastAsia"/>
                <w:b w:val="0"/>
                <w:bCs w:val="0"/>
                <w:sz w:val="22"/>
                <w:szCs w:val="22"/>
              </w:rPr>
              <w:t xml:space="preserve"> Biological Safety Division</w:t>
            </w:r>
          </w:p>
        </w:tc>
        <w:tc>
          <w:tcPr>
            <w:tcW w:w="2698" w:type="dxa"/>
          </w:tcPr>
          <w:p w14:paraId="69061047" w14:textId="77777777" w:rsidR="00084E7E" w:rsidRPr="00196C9A" w:rsidRDefault="00084E7E" w:rsidP="00084E7E">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Email:</w:t>
            </w:r>
          </w:p>
          <w:p w14:paraId="28AB6085" w14:textId="7C1E693E" w:rsidR="00084E7E" w:rsidRPr="00196C9A" w:rsidRDefault="00FE1219" w:rsidP="00084E7E">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antony.schwartz@duke.edu</w:t>
            </w:r>
          </w:p>
          <w:p w14:paraId="51A287EF" w14:textId="77777777" w:rsidR="00084E7E" w:rsidRPr="00196C9A" w:rsidRDefault="00084E7E" w:rsidP="00084E7E">
            <w:pPr>
              <w:pStyle w:val="Heading2"/>
              <w:tabs>
                <w:tab w:val="left" w:pos="360"/>
              </w:tabs>
              <w:spacing w:before="0" w:beforeAutospacing="0" w:after="0" w:afterAutospacing="0"/>
              <w:contextualSpacing/>
              <w:rPr>
                <w:rFonts w:eastAsiaTheme="minorEastAsia"/>
                <w:b w:val="0"/>
                <w:bCs w:val="0"/>
                <w:sz w:val="22"/>
                <w:szCs w:val="22"/>
              </w:rPr>
            </w:pPr>
          </w:p>
          <w:p w14:paraId="6345CFD0" w14:textId="77777777" w:rsidR="00084E7E" w:rsidRPr="00196C9A" w:rsidRDefault="00084E7E" w:rsidP="00084E7E">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Phone number:</w:t>
            </w:r>
          </w:p>
          <w:p w14:paraId="043F7291" w14:textId="2DC33E4D" w:rsidR="00286584" w:rsidRPr="00196C9A" w:rsidRDefault="00FE1219" w:rsidP="00C81F2C">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+1 919 68</w:t>
            </w:r>
            <w:r w:rsidR="00196C9A" w:rsidRPr="00196C9A">
              <w:rPr>
                <w:rFonts w:eastAsiaTheme="minorEastAsia"/>
                <w:b w:val="0"/>
                <w:bCs w:val="0"/>
                <w:sz w:val="22"/>
                <w:szCs w:val="22"/>
              </w:rPr>
              <w:t>4 8822</w:t>
            </w:r>
          </w:p>
          <w:p w14:paraId="3B0EE002"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tc>
      </w:tr>
      <w:tr w:rsidR="00084E7E" w:rsidRPr="00196C9A" w14:paraId="3B9317CD" w14:textId="77777777" w:rsidTr="00286584">
        <w:tc>
          <w:tcPr>
            <w:tcW w:w="2697" w:type="dxa"/>
          </w:tcPr>
          <w:p w14:paraId="0AA8E621" w14:textId="3CDD4404"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Program Officer</w:t>
            </w:r>
          </w:p>
        </w:tc>
        <w:tc>
          <w:tcPr>
            <w:tcW w:w="2697" w:type="dxa"/>
          </w:tcPr>
          <w:p w14:paraId="0C91405B"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tc>
        <w:tc>
          <w:tcPr>
            <w:tcW w:w="2698" w:type="dxa"/>
          </w:tcPr>
          <w:p w14:paraId="3B5E97A9"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tc>
        <w:tc>
          <w:tcPr>
            <w:tcW w:w="2698" w:type="dxa"/>
          </w:tcPr>
          <w:p w14:paraId="247FD4E1" w14:textId="77777777" w:rsidR="00084E7E" w:rsidRPr="00196C9A" w:rsidRDefault="00084E7E" w:rsidP="00084E7E">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Email:</w:t>
            </w:r>
          </w:p>
          <w:p w14:paraId="571685C4" w14:textId="77777777" w:rsidR="00084E7E" w:rsidRPr="00196C9A" w:rsidRDefault="00084E7E" w:rsidP="00084E7E">
            <w:pPr>
              <w:pStyle w:val="Heading2"/>
              <w:tabs>
                <w:tab w:val="left" w:pos="360"/>
              </w:tabs>
              <w:spacing w:before="0" w:beforeAutospacing="0" w:after="0" w:afterAutospacing="0"/>
              <w:contextualSpacing/>
              <w:rPr>
                <w:rFonts w:eastAsiaTheme="minorEastAsia"/>
                <w:b w:val="0"/>
                <w:bCs w:val="0"/>
                <w:sz w:val="22"/>
                <w:szCs w:val="22"/>
              </w:rPr>
            </w:pPr>
          </w:p>
          <w:p w14:paraId="16169BBA" w14:textId="77777777" w:rsidR="00084E7E" w:rsidRPr="00196C9A" w:rsidRDefault="00084E7E" w:rsidP="00084E7E">
            <w:pPr>
              <w:pStyle w:val="Heading2"/>
              <w:tabs>
                <w:tab w:val="left" w:pos="360"/>
              </w:tabs>
              <w:spacing w:before="0" w:beforeAutospacing="0" w:after="0" w:afterAutospacing="0"/>
              <w:contextualSpacing/>
              <w:rPr>
                <w:rFonts w:eastAsiaTheme="minorEastAsia"/>
                <w:b w:val="0"/>
                <w:bCs w:val="0"/>
                <w:sz w:val="22"/>
                <w:szCs w:val="22"/>
              </w:rPr>
            </w:pPr>
          </w:p>
          <w:p w14:paraId="7C60FB25" w14:textId="77777777" w:rsidR="00084E7E" w:rsidRPr="00196C9A" w:rsidRDefault="00084E7E" w:rsidP="00084E7E">
            <w:pPr>
              <w:pStyle w:val="Heading2"/>
              <w:tabs>
                <w:tab w:val="left" w:pos="360"/>
              </w:tabs>
              <w:spacing w:before="0" w:beforeAutospacing="0" w:after="0" w:afterAutospacing="0"/>
              <w:contextualSpacing/>
              <w:rPr>
                <w:rFonts w:eastAsiaTheme="minorEastAsia"/>
                <w:b w:val="0"/>
                <w:bCs w:val="0"/>
                <w:sz w:val="22"/>
                <w:szCs w:val="22"/>
              </w:rPr>
            </w:pPr>
            <w:r w:rsidRPr="00196C9A">
              <w:rPr>
                <w:rFonts w:eastAsiaTheme="minorEastAsia"/>
                <w:b w:val="0"/>
                <w:bCs w:val="0"/>
                <w:sz w:val="22"/>
                <w:szCs w:val="22"/>
              </w:rPr>
              <w:t>Phone number:</w:t>
            </w:r>
          </w:p>
          <w:p w14:paraId="05269035"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p w14:paraId="36ECF581" w14:textId="77777777" w:rsidR="00084E7E" w:rsidRPr="00196C9A" w:rsidRDefault="00084E7E" w:rsidP="00C81F2C">
            <w:pPr>
              <w:pStyle w:val="Heading2"/>
              <w:tabs>
                <w:tab w:val="left" w:pos="360"/>
              </w:tabs>
              <w:spacing w:before="0" w:beforeAutospacing="0" w:after="0" w:afterAutospacing="0"/>
              <w:contextualSpacing/>
              <w:rPr>
                <w:rFonts w:eastAsiaTheme="minorEastAsia"/>
                <w:b w:val="0"/>
                <w:bCs w:val="0"/>
                <w:sz w:val="22"/>
                <w:szCs w:val="22"/>
              </w:rPr>
            </w:pPr>
          </w:p>
        </w:tc>
      </w:tr>
    </w:tbl>
    <w:p w14:paraId="6340AE56" w14:textId="77777777" w:rsidR="00290784" w:rsidRPr="00196C9A" w:rsidRDefault="00290784" w:rsidP="00C81F2C">
      <w:pPr>
        <w:pStyle w:val="Heading2"/>
        <w:tabs>
          <w:tab w:val="left" w:pos="360"/>
        </w:tabs>
        <w:spacing w:before="0" w:beforeAutospacing="0" w:after="0" w:afterAutospacing="0"/>
        <w:contextualSpacing/>
        <w:rPr>
          <w:rFonts w:eastAsiaTheme="minorEastAsia"/>
          <w:b w:val="0"/>
          <w:bCs w:val="0"/>
          <w:sz w:val="22"/>
          <w:szCs w:val="22"/>
        </w:rPr>
      </w:pPr>
    </w:p>
    <w:p w14:paraId="2A74A4E0" w14:textId="77777777" w:rsidR="00290784" w:rsidRPr="00196C9A" w:rsidRDefault="00290784" w:rsidP="00C81F2C">
      <w:pPr>
        <w:pStyle w:val="Heading2"/>
        <w:tabs>
          <w:tab w:val="left" w:pos="360"/>
        </w:tabs>
        <w:spacing w:before="0" w:beforeAutospacing="0" w:after="0" w:afterAutospacing="0"/>
        <w:contextualSpacing/>
        <w:rPr>
          <w:rFonts w:eastAsiaTheme="minorEastAsia"/>
          <w:b w:val="0"/>
          <w:bCs w:val="0"/>
          <w:sz w:val="22"/>
          <w:szCs w:val="22"/>
        </w:rPr>
      </w:pPr>
    </w:p>
    <w:p w14:paraId="4C7925B4" w14:textId="17EC3354" w:rsidR="00611A9C" w:rsidRPr="00196C9A" w:rsidRDefault="00286584" w:rsidP="00C81F2C">
      <w:pPr>
        <w:tabs>
          <w:tab w:val="left" w:pos="360"/>
        </w:tabs>
        <w:autoSpaceDE w:val="0"/>
        <w:autoSpaceDN w:val="0"/>
        <w:adjustRightInd w:val="0"/>
        <w:spacing w:after="0" w:line="240" w:lineRule="auto"/>
        <w:contextualSpacing/>
        <w:rPr>
          <w:rFonts w:ascii="Times New Roman" w:hAnsi="Times New Roman" w:cs="Times New Roman"/>
        </w:rPr>
      </w:pPr>
      <w:r w:rsidRPr="00196C9A">
        <w:rPr>
          <w:rFonts w:ascii="Times New Roman" w:hAnsi="Times New Roman" w:cs="Times New Roman"/>
          <w:b/>
        </w:rPr>
        <w:t>Institutional Review Entity (</w:t>
      </w:r>
      <w:r w:rsidR="00B244EE" w:rsidRPr="00196C9A">
        <w:rPr>
          <w:rFonts w:ascii="Times New Roman" w:hAnsi="Times New Roman" w:cs="Times New Roman"/>
          <w:b/>
        </w:rPr>
        <w:t>IRE</w:t>
      </w:r>
      <w:r w:rsidRPr="00196C9A">
        <w:rPr>
          <w:rFonts w:ascii="Times New Roman" w:hAnsi="Times New Roman" w:cs="Times New Roman"/>
          <w:b/>
        </w:rPr>
        <w:t>)</w:t>
      </w:r>
      <w:r w:rsidR="00B244EE" w:rsidRPr="00196C9A">
        <w:rPr>
          <w:rFonts w:ascii="Times New Roman" w:hAnsi="Times New Roman" w:cs="Times New Roman"/>
          <w:b/>
        </w:rPr>
        <w:t xml:space="preserve"> Review</w:t>
      </w:r>
      <w:r w:rsidR="007520FE" w:rsidRPr="00196C9A">
        <w:rPr>
          <w:rFonts w:ascii="Times New Roman" w:hAnsi="Times New Roman" w:cs="Times New Roman"/>
          <w:b/>
        </w:rPr>
        <w:t xml:space="preserve"> Decision</w:t>
      </w:r>
      <w:r w:rsidR="00B244EE" w:rsidRPr="00196C9A">
        <w:rPr>
          <w:rFonts w:ascii="Times New Roman" w:hAnsi="Times New Roman" w:cs="Times New Roman"/>
          <w:b/>
        </w:rPr>
        <w:t>:</w:t>
      </w:r>
      <w:r w:rsidR="00B244EE" w:rsidRPr="00196C9A">
        <w:rPr>
          <w:rFonts w:ascii="Times New Roman" w:hAnsi="Times New Roman" w:cs="Times New Roman"/>
        </w:rPr>
        <w:t xml:space="preserve"> </w:t>
      </w:r>
    </w:p>
    <w:p w14:paraId="7832CBD7" w14:textId="77777777" w:rsidR="00C81F2C" w:rsidRPr="00196C9A" w:rsidRDefault="00C81F2C" w:rsidP="00C81F2C">
      <w:pPr>
        <w:tabs>
          <w:tab w:val="left" w:pos="360"/>
        </w:tabs>
        <w:autoSpaceDE w:val="0"/>
        <w:autoSpaceDN w:val="0"/>
        <w:adjustRightInd w:val="0"/>
        <w:spacing w:after="0" w:line="240" w:lineRule="auto"/>
        <w:contextualSpacing/>
        <w:rPr>
          <w:rFonts w:ascii="Times New Roman" w:hAnsi="Times New Roman" w:cs="Times New Roman"/>
        </w:rPr>
      </w:pPr>
    </w:p>
    <w:p w14:paraId="7BF110E1" w14:textId="452D2727" w:rsidR="00196C9A" w:rsidRPr="00196C9A" w:rsidRDefault="00196C9A" w:rsidP="00196C9A">
      <w:pPr>
        <w:tabs>
          <w:tab w:val="left" w:pos="360"/>
        </w:tabs>
        <w:autoSpaceDE w:val="0"/>
        <w:autoSpaceDN w:val="0"/>
        <w:adjustRightInd w:val="0"/>
        <w:spacing w:after="0" w:line="240" w:lineRule="auto"/>
        <w:contextualSpacing/>
        <w:rPr>
          <w:rFonts w:ascii="Times New Roman" w:hAnsi="Times New Roman" w:cs="Times New Roman"/>
        </w:rPr>
      </w:pPr>
      <w:r w:rsidRPr="00196C9A">
        <w:rPr>
          <w:rFonts w:ascii="Times New Roman" w:hAnsi="Times New Roman" w:cs="Times New Roman"/>
          <w:b/>
        </w:rPr>
        <w:t>Institutional Review Entity (IRE) Review Decision</w:t>
      </w:r>
      <w:r w:rsidRPr="00196C9A">
        <w:rPr>
          <w:rFonts w:ascii="Times New Roman" w:hAnsi="Times New Roman" w:cs="Times New Roman"/>
          <w:b/>
        </w:rPr>
        <w:t xml:space="preserve"> Date</w:t>
      </w:r>
      <w:r w:rsidRPr="00196C9A">
        <w:rPr>
          <w:rFonts w:ascii="Times New Roman" w:hAnsi="Times New Roman" w:cs="Times New Roman"/>
          <w:b/>
        </w:rPr>
        <w:t>:</w:t>
      </w:r>
      <w:r w:rsidRPr="00196C9A">
        <w:rPr>
          <w:rFonts w:ascii="Times New Roman" w:hAnsi="Times New Roman" w:cs="Times New Roman"/>
        </w:rPr>
        <w:t xml:space="preserve"> </w:t>
      </w:r>
    </w:p>
    <w:p w14:paraId="367685A0" w14:textId="77777777" w:rsidR="00196C9A" w:rsidRPr="00196C9A" w:rsidRDefault="00196C9A" w:rsidP="00C81F2C">
      <w:pPr>
        <w:pStyle w:val="Heading2"/>
        <w:tabs>
          <w:tab w:val="left" w:pos="360"/>
        </w:tabs>
        <w:spacing w:before="0" w:beforeAutospacing="0" w:after="0" w:afterAutospacing="0"/>
        <w:ind w:left="1620" w:hanging="1620"/>
        <w:contextualSpacing/>
        <w:rPr>
          <w:rFonts w:eastAsiaTheme="minorEastAsia"/>
          <w:bCs w:val="0"/>
          <w:sz w:val="22"/>
          <w:szCs w:val="22"/>
        </w:rPr>
      </w:pPr>
    </w:p>
    <w:p w14:paraId="0E4AE762" w14:textId="450A47EF" w:rsidR="00BA3883" w:rsidRPr="00196C9A" w:rsidRDefault="007520FE" w:rsidP="00C81F2C">
      <w:pPr>
        <w:pStyle w:val="Heading2"/>
        <w:tabs>
          <w:tab w:val="left" w:pos="360"/>
        </w:tabs>
        <w:spacing w:before="0" w:beforeAutospacing="0" w:after="0" w:afterAutospacing="0"/>
        <w:ind w:left="1620" w:hanging="1620"/>
        <w:contextualSpacing/>
        <w:rPr>
          <w:rFonts w:eastAsiaTheme="minorEastAsia"/>
          <w:b w:val="0"/>
          <w:bCs w:val="0"/>
          <w:sz w:val="22"/>
          <w:szCs w:val="22"/>
        </w:rPr>
      </w:pPr>
      <w:r w:rsidRPr="00196C9A">
        <w:rPr>
          <w:rFonts w:eastAsiaTheme="minorEastAsia"/>
          <w:bCs w:val="0"/>
          <w:sz w:val="22"/>
          <w:szCs w:val="22"/>
        </w:rPr>
        <w:t>SPS Tracking</w:t>
      </w:r>
      <w:r w:rsidR="009C3905" w:rsidRPr="00196C9A">
        <w:rPr>
          <w:rFonts w:eastAsiaTheme="minorEastAsia"/>
          <w:bCs w:val="0"/>
          <w:sz w:val="22"/>
          <w:szCs w:val="22"/>
        </w:rPr>
        <w:t xml:space="preserve"> Number:</w:t>
      </w:r>
    </w:p>
    <w:p w14:paraId="7BF79906" w14:textId="77777777" w:rsidR="00143813" w:rsidRPr="00196C9A" w:rsidRDefault="00143813" w:rsidP="00C81F2C">
      <w:pPr>
        <w:pStyle w:val="Heading2"/>
        <w:tabs>
          <w:tab w:val="left" w:pos="360"/>
        </w:tabs>
        <w:spacing w:before="0" w:beforeAutospacing="0" w:after="0" w:afterAutospacing="0"/>
        <w:ind w:left="1620" w:hanging="1620"/>
        <w:contextualSpacing/>
        <w:rPr>
          <w:rFonts w:eastAsiaTheme="minorEastAsia"/>
          <w:b w:val="0"/>
          <w:bCs w:val="0"/>
          <w:sz w:val="22"/>
          <w:szCs w:val="22"/>
        </w:rPr>
      </w:pPr>
    </w:p>
    <w:p w14:paraId="26173167" w14:textId="42AC5593" w:rsidR="00B244EE" w:rsidRPr="00196C9A" w:rsidRDefault="00BA3883" w:rsidP="00C81F2C">
      <w:pPr>
        <w:pStyle w:val="Heading2"/>
        <w:tabs>
          <w:tab w:val="left" w:pos="360"/>
        </w:tabs>
        <w:spacing w:before="0" w:beforeAutospacing="0" w:after="0" w:afterAutospacing="0"/>
        <w:ind w:left="1440" w:hanging="1440"/>
        <w:contextualSpacing/>
        <w:rPr>
          <w:rFonts w:eastAsiaTheme="minorEastAsia"/>
          <w:b w:val="0"/>
          <w:bCs w:val="0"/>
          <w:sz w:val="22"/>
          <w:szCs w:val="22"/>
        </w:rPr>
      </w:pPr>
      <w:r w:rsidRPr="00196C9A">
        <w:rPr>
          <w:rFonts w:eastAsiaTheme="minorEastAsia"/>
          <w:bCs w:val="0"/>
          <w:sz w:val="22"/>
          <w:szCs w:val="22"/>
        </w:rPr>
        <w:t>Project Title:</w:t>
      </w:r>
    </w:p>
    <w:p w14:paraId="34D6DAFA" w14:textId="77777777" w:rsidR="00290784" w:rsidRPr="00196C9A" w:rsidRDefault="00290784" w:rsidP="00C81F2C">
      <w:pPr>
        <w:pStyle w:val="Heading2"/>
        <w:tabs>
          <w:tab w:val="left" w:pos="360"/>
        </w:tabs>
        <w:spacing w:before="0" w:beforeAutospacing="0" w:after="0" w:afterAutospacing="0"/>
        <w:contextualSpacing/>
        <w:rPr>
          <w:rFonts w:eastAsiaTheme="minorEastAsia"/>
          <w:b w:val="0"/>
          <w:bCs w:val="0"/>
          <w:sz w:val="22"/>
          <w:szCs w:val="22"/>
        </w:rPr>
      </w:pPr>
    </w:p>
    <w:p w14:paraId="0C54341A" w14:textId="62757E3B" w:rsidR="00E73EE1" w:rsidRPr="00196C9A" w:rsidRDefault="00E73EE1" w:rsidP="00C81F2C">
      <w:pPr>
        <w:pStyle w:val="Heading2"/>
        <w:tabs>
          <w:tab w:val="left" w:pos="360"/>
        </w:tabs>
        <w:spacing w:before="0" w:beforeAutospacing="0" w:after="0" w:afterAutospacing="0"/>
        <w:contextualSpacing/>
        <w:rPr>
          <w:sz w:val="22"/>
          <w:szCs w:val="22"/>
        </w:rPr>
      </w:pPr>
      <w:r w:rsidRPr="00196C9A">
        <w:rPr>
          <w:sz w:val="22"/>
          <w:szCs w:val="22"/>
        </w:rPr>
        <w:t>Research</w:t>
      </w:r>
      <w:r w:rsidR="00196C9A" w:rsidRPr="00196C9A">
        <w:rPr>
          <w:sz w:val="22"/>
          <w:szCs w:val="22"/>
        </w:rPr>
        <w:t xml:space="preserve"> Summary</w:t>
      </w:r>
      <w:r w:rsidR="00C81F2C" w:rsidRPr="00196C9A">
        <w:rPr>
          <w:sz w:val="22"/>
          <w:szCs w:val="22"/>
        </w:rPr>
        <w:t>:</w:t>
      </w:r>
    </w:p>
    <w:p w14:paraId="706063AD" w14:textId="77777777" w:rsidR="00C81F2C" w:rsidRPr="00196C9A" w:rsidRDefault="00C81F2C" w:rsidP="00886B56">
      <w:pPr>
        <w:pStyle w:val="Heading2"/>
        <w:tabs>
          <w:tab w:val="left" w:pos="360"/>
        </w:tabs>
        <w:spacing w:before="0" w:beforeAutospacing="0" w:after="120" w:afterAutospacing="0"/>
        <w:contextualSpacing/>
        <w:rPr>
          <w:sz w:val="22"/>
          <w:szCs w:val="22"/>
        </w:rPr>
      </w:pPr>
    </w:p>
    <w:p w14:paraId="6294D3D8" w14:textId="77777777" w:rsidR="00196C9A" w:rsidRDefault="00196C9A">
      <w:pPr>
        <w:rPr>
          <w:rFonts w:ascii="Times New Roman" w:eastAsia="Times New Roman" w:hAnsi="Times New Roman" w:cs="Times New Roman"/>
          <w:b/>
          <w:bCs/>
          <w:sz w:val="24"/>
          <w:szCs w:val="24"/>
        </w:rPr>
      </w:pPr>
      <w:r>
        <w:rPr>
          <w:sz w:val="24"/>
          <w:szCs w:val="24"/>
        </w:rPr>
        <w:br w:type="page"/>
      </w:r>
    </w:p>
    <w:p w14:paraId="65804DEA" w14:textId="238D7A43" w:rsidR="00CB7008" w:rsidRPr="00196C9A" w:rsidRDefault="00E73EE1" w:rsidP="00886B56">
      <w:pPr>
        <w:pStyle w:val="Heading2"/>
        <w:tabs>
          <w:tab w:val="left" w:pos="360"/>
        </w:tabs>
        <w:spacing w:before="0" w:beforeAutospacing="0" w:after="120" w:afterAutospacing="0"/>
        <w:contextualSpacing/>
        <w:rPr>
          <w:sz w:val="24"/>
          <w:szCs w:val="24"/>
        </w:rPr>
      </w:pPr>
      <w:commentRangeStart w:id="1"/>
      <w:r w:rsidRPr="00196C9A">
        <w:rPr>
          <w:sz w:val="24"/>
          <w:szCs w:val="24"/>
        </w:rPr>
        <w:lastRenderedPageBreak/>
        <w:t>Biosafety and B</w:t>
      </w:r>
      <w:r w:rsidR="00C73595" w:rsidRPr="00196C9A">
        <w:rPr>
          <w:sz w:val="24"/>
          <w:szCs w:val="24"/>
        </w:rPr>
        <w:t>iosecurity</w:t>
      </w:r>
      <w:r w:rsidRPr="00196C9A">
        <w:rPr>
          <w:sz w:val="24"/>
          <w:szCs w:val="24"/>
        </w:rPr>
        <w:t xml:space="preserve"> Measures</w:t>
      </w:r>
      <w:commentRangeEnd w:id="1"/>
      <w:r w:rsidR="00196C9A">
        <w:rPr>
          <w:rStyle w:val="CommentReference"/>
          <w:rFonts w:asciiTheme="minorHAnsi" w:eastAsiaTheme="minorEastAsia" w:hAnsiTheme="minorHAnsi" w:cstheme="minorBidi"/>
          <w:b w:val="0"/>
          <w:bCs w:val="0"/>
        </w:rPr>
        <w:commentReference w:id="1"/>
      </w:r>
    </w:p>
    <w:p w14:paraId="664C8D6F" w14:textId="77777777" w:rsidR="00BB5B8F" w:rsidRPr="00196C9A" w:rsidRDefault="004B7233" w:rsidP="00A318E2">
      <w:pPr>
        <w:tabs>
          <w:tab w:val="left" w:pos="360"/>
        </w:tabs>
        <w:autoSpaceDE w:val="0"/>
        <w:autoSpaceDN w:val="0"/>
        <w:adjustRightInd w:val="0"/>
        <w:spacing w:after="120" w:line="240" w:lineRule="auto"/>
        <w:contextualSpacing/>
        <w:rPr>
          <w:rFonts w:ascii="Times New Roman" w:hAnsi="Times New Roman" w:cs="Times New Roman"/>
        </w:rPr>
      </w:pPr>
      <w:r w:rsidRPr="00196C9A">
        <w:rPr>
          <w:rFonts w:ascii="Times New Roman" w:hAnsi="Times New Roman" w:cs="Times New Roman"/>
          <w:b/>
          <w:u w:val="single"/>
        </w:rPr>
        <w:t>Biocontainment</w:t>
      </w:r>
      <w:r w:rsidRPr="00196C9A">
        <w:rPr>
          <w:rFonts w:ascii="Times New Roman" w:hAnsi="Times New Roman" w:cs="Times New Roman"/>
        </w:rPr>
        <w:t xml:space="preserve"> </w:t>
      </w:r>
    </w:p>
    <w:p w14:paraId="0639EF04" w14:textId="373423C2" w:rsidR="00290784" w:rsidRPr="00196C9A" w:rsidRDefault="003D09D0" w:rsidP="00A318E2">
      <w:pPr>
        <w:tabs>
          <w:tab w:val="left" w:pos="360"/>
        </w:tabs>
        <w:autoSpaceDE w:val="0"/>
        <w:autoSpaceDN w:val="0"/>
        <w:adjustRightInd w:val="0"/>
        <w:spacing w:after="120" w:line="240" w:lineRule="auto"/>
        <w:contextualSpacing/>
        <w:rPr>
          <w:rFonts w:ascii="Times New Roman" w:hAnsi="Times New Roman" w:cs="Times New Roman"/>
        </w:rPr>
      </w:pPr>
      <w:r w:rsidRPr="00196C9A">
        <w:rPr>
          <w:rFonts w:ascii="Times New Roman" w:hAnsi="Times New Roman" w:cs="Times New Roman"/>
        </w:rPr>
        <w:t>The facilities occupied by Dr</w:t>
      </w:r>
      <w:r w:rsidRPr="00196C9A">
        <w:rPr>
          <w:rFonts w:ascii="Times New Roman" w:hAnsi="Times New Roman" w:cs="Times New Roman"/>
          <w:highlight w:val="yellow"/>
        </w:rPr>
        <w:t xml:space="preserve">. </w:t>
      </w:r>
      <w:r w:rsidR="00B53EB8" w:rsidRPr="00196C9A">
        <w:rPr>
          <w:rFonts w:ascii="Times New Roman" w:hAnsi="Times New Roman" w:cs="Times New Roman"/>
          <w:highlight w:val="yellow"/>
        </w:rPr>
        <w:t>__</w:t>
      </w:r>
      <w:r w:rsidRPr="00196C9A">
        <w:rPr>
          <w:rFonts w:ascii="Times New Roman" w:hAnsi="Times New Roman" w:cs="Times New Roman"/>
        </w:rPr>
        <w:t xml:space="preserve"> laboratory</w:t>
      </w:r>
      <w:r w:rsidR="007931AB" w:rsidRPr="00196C9A">
        <w:rPr>
          <w:rFonts w:ascii="Times New Roman" w:hAnsi="Times New Roman" w:cs="Times New Roman"/>
        </w:rPr>
        <w:t xml:space="preserve"> </w:t>
      </w:r>
      <w:r w:rsidR="0049223F" w:rsidRPr="00196C9A">
        <w:rPr>
          <w:rFonts w:ascii="Times New Roman" w:hAnsi="Times New Roman" w:cs="Times New Roman"/>
        </w:rPr>
        <w:t xml:space="preserve">were designed to </w:t>
      </w:r>
      <w:r w:rsidRPr="00196C9A">
        <w:rPr>
          <w:rFonts w:ascii="Times New Roman" w:hAnsi="Times New Roman" w:cs="Times New Roman"/>
        </w:rPr>
        <w:t xml:space="preserve">meet </w:t>
      </w:r>
      <w:r w:rsidR="003C1E81" w:rsidRPr="00196C9A">
        <w:rPr>
          <w:rFonts w:ascii="Times New Roman" w:hAnsi="Times New Roman" w:cs="Times New Roman"/>
        </w:rPr>
        <w:t xml:space="preserve">biocontainment </w:t>
      </w:r>
      <w:r w:rsidR="0049223F" w:rsidRPr="00196C9A">
        <w:rPr>
          <w:rFonts w:ascii="Times New Roman" w:hAnsi="Times New Roman" w:cs="Times New Roman"/>
        </w:rPr>
        <w:t xml:space="preserve">standards outlined in Biosafety in Microbiological and Biomedical Laboratories </w:t>
      </w:r>
      <w:r w:rsidR="008C7373" w:rsidRPr="00196C9A">
        <w:rPr>
          <w:rFonts w:ascii="Times New Roman" w:hAnsi="Times New Roman" w:cs="Times New Roman"/>
        </w:rPr>
        <w:t>(</w:t>
      </w:r>
      <w:r w:rsidR="00C33CD3" w:rsidRPr="00196C9A">
        <w:rPr>
          <w:rFonts w:ascii="Times New Roman" w:hAnsi="Times New Roman" w:cs="Times New Roman"/>
        </w:rPr>
        <w:t>6</w:t>
      </w:r>
      <w:r w:rsidR="008C7373" w:rsidRPr="00196C9A">
        <w:rPr>
          <w:rFonts w:ascii="Times New Roman" w:hAnsi="Times New Roman" w:cs="Times New Roman"/>
        </w:rPr>
        <w:t>th edition [1];</w:t>
      </w:r>
      <w:r w:rsidR="008C7373" w:rsidRPr="00196C9A">
        <w:rPr>
          <w:rFonts w:ascii="Times New Roman" w:hAnsi="Times New Roman" w:cs="Times New Roman"/>
          <w:b/>
        </w:rPr>
        <w:t xml:space="preserve"> BMBL</w:t>
      </w:r>
      <w:r w:rsidR="00C33CD3" w:rsidRPr="00196C9A">
        <w:rPr>
          <w:rFonts w:ascii="Times New Roman" w:hAnsi="Times New Roman" w:cs="Times New Roman"/>
          <w:b/>
        </w:rPr>
        <w:t>6</w:t>
      </w:r>
      <w:r w:rsidR="008C7373" w:rsidRPr="00196C9A">
        <w:rPr>
          <w:rFonts w:ascii="Times New Roman" w:hAnsi="Times New Roman" w:cs="Times New Roman"/>
        </w:rPr>
        <w:t>).</w:t>
      </w:r>
    </w:p>
    <w:p w14:paraId="77931A3B" w14:textId="77777777" w:rsidR="00A318E2" w:rsidRPr="00196C9A" w:rsidRDefault="00A318E2" w:rsidP="00A318E2">
      <w:pPr>
        <w:tabs>
          <w:tab w:val="left" w:pos="360"/>
        </w:tabs>
        <w:autoSpaceDE w:val="0"/>
        <w:autoSpaceDN w:val="0"/>
        <w:adjustRightInd w:val="0"/>
        <w:spacing w:after="120" w:line="240" w:lineRule="auto"/>
        <w:contextualSpacing/>
        <w:rPr>
          <w:rFonts w:ascii="Times New Roman" w:hAnsi="Times New Roman" w:cs="Times New Roman"/>
        </w:rPr>
      </w:pPr>
    </w:p>
    <w:p w14:paraId="616248F6" w14:textId="4946DA79" w:rsidR="003D09D0" w:rsidRPr="00196C9A" w:rsidRDefault="003D09D0" w:rsidP="00A318E2">
      <w:pPr>
        <w:tabs>
          <w:tab w:val="left" w:pos="360"/>
        </w:tabs>
        <w:autoSpaceDE w:val="0"/>
        <w:autoSpaceDN w:val="0"/>
        <w:adjustRightInd w:val="0"/>
        <w:spacing w:after="120" w:line="240" w:lineRule="auto"/>
        <w:ind w:left="360"/>
        <w:contextualSpacing/>
        <w:rPr>
          <w:rFonts w:ascii="Times New Roman" w:hAnsi="Times New Roman" w:cs="Times New Roman"/>
          <w:u w:val="single"/>
        </w:rPr>
      </w:pPr>
      <w:proofErr w:type="gramStart"/>
      <w:r w:rsidRPr="00196C9A">
        <w:rPr>
          <w:rFonts w:ascii="Times New Roman" w:hAnsi="Times New Roman" w:cs="Times New Roman"/>
          <w:u w:val="single"/>
        </w:rPr>
        <w:t>BSL</w:t>
      </w:r>
      <w:proofErr w:type="gramEnd"/>
      <w:r w:rsidRPr="00196C9A">
        <w:rPr>
          <w:rFonts w:ascii="Times New Roman" w:hAnsi="Times New Roman" w:cs="Times New Roman"/>
          <w:u w:val="single"/>
        </w:rPr>
        <w:t xml:space="preserve">-2 </w:t>
      </w:r>
      <w:r w:rsidR="00601D7F" w:rsidRPr="00196C9A">
        <w:rPr>
          <w:rFonts w:ascii="Times New Roman" w:hAnsi="Times New Roman" w:cs="Times New Roman"/>
          <w:u w:val="single"/>
        </w:rPr>
        <w:t>suite</w:t>
      </w:r>
      <w:r w:rsidR="00EC077B" w:rsidRPr="00196C9A">
        <w:rPr>
          <w:rFonts w:ascii="Times New Roman" w:hAnsi="Times New Roman" w:cs="Times New Roman"/>
          <w:u w:val="single"/>
        </w:rPr>
        <w:t xml:space="preserve"> </w:t>
      </w:r>
      <w:r w:rsidRPr="00196C9A">
        <w:rPr>
          <w:rFonts w:ascii="Times New Roman" w:hAnsi="Times New Roman" w:cs="Times New Roman"/>
          <w:u w:val="single"/>
        </w:rPr>
        <w:t>includes the following:</w:t>
      </w:r>
    </w:p>
    <w:p w14:paraId="273EEA09" w14:textId="33A51737" w:rsidR="001804B5" w:rsidRPr="00196C9A" w:rsidRDefault="001804B5" w:rsidP="006565AA">
      <w:pPr>
        <w:pStyle w:val="ListParagraph"/>
        <w:numPr>
          <w:ilvl w:val="0"/>
          <w:numId w:val="8"/>
        </w:numPr>
        <w:tabs>
          <w:tab w:val="left" w:pos="360"/>
        </w:tabs>
        <w:autoSpaceDE w:val="0"/>
        <w:autoSpaceDN w:val="0"/>
        <w:adjustRightInd w:val="0"/>
        <w:spacing w:after="120" w:line="240" w:lineRule="auto"/>
        <w:ind w:left="1080"/>
        <w:rPr>
          <w:rFonts w:ascii="Times New Roman" w:hAnsi="Times New Roman" w:cs="Times New Roman"/>
        </w:rPr>
      </w:pPr>
      <w:r w:rsidRPr="00196C9A">
        <w:rPr>
          <w:rFonts w:ascii="Times New Roman" w:hAnsi="Times New Roman" w:cs="Times New Roman"/>
        </w:rPr>
        <w:t>Infectious work is conducted inside of a biosafety cabinet whenever possible</w:t>
      </w:r>
    </w:p>
    <w:p w14:paraId="1295E534" w14:textId="41E26F61" w:rsidR="003D09D0" w:rsidRPr="00196C9A" w:rsidRDefault="00084E7E" w:rsidP="006565AA">
      <w:pPr>
        <w:pStyle w:val="ListParagraph"/>
        <w:numPr>
          <w:ilvl w:val="0"/>
          <w:numId w:val="8"/>
        </w:numPr>
        <w:tabs>
          <w:tab w:val="left" w:pos="360"/>
        </w:tabs>
        <w:autoSpaceDE w:val="0"/>
        <w:autoSpaceDN w:val="0"/>
        <w:adjustRightInd w:val="0"/>
        <w:spacing w:after="120" w:line="240" w:lineRule="auto"/>
        <w:ind w:left="1080"/>
        <w:rPr>
          <w:rFonts w:ascii="Times New Roman" w:hAnsi="Times New Roman" w:cs="Times New Roman"/>
        </w:rPr>
      </w:pPr>
      <w:r w:rsidRPr="00196C9A">
        <w:rPr>
          <w:rFonts w:ascii="Times New Roman" w:hAnsi="Times New Roman" w:cs="Times New Roman"/>
        </w:rPr>
        <w:t>Inward flowing air without recirculation to spaces outside of the laboratory</w:t>
      </w:r>
    </w:p>
    <w:p w14:paraId="133776A9" w14:textId="32787185" w:rsidR="00290784" w:rsidRPr="00196C9A" w:rsidRDefault="00196C9A" w:rsidP="00525DFF">
      <w:pPr>
        <w:pStyle w:val="ListParagraph"/>
        <w:numPr>
          <w:ilvl w:val="0"/>
          <w:numId w:val="8"/>
        </w:numPr>
        <w:tabs>
          <w:tab w:val="left" w:pos="360"/>
        </w:tabs>
        <w:autoSpaceDE w:val="0"/>
        <w:autoSpaceDN w:val="0"/>
        <w:adjustRightInd w:val="0"/>
        <w:spacing w:after="120" w:line="240" w:lineRule="auto"/>
        <w:ind w:left="1080"/>
        <w:rPr>
          <w:rFonts w:ascii="Times New Roman" w:hAnsi="Times New Roman" w:cs="Times New Roman"/>
        </w:rPr>
      </w:pPr>
      <w:r w:rsidRPr="00196C9A">
        <w:rPr>
          <w:rFonts w:ascii="Times New Roman" w:hAnsi="Times New Roman" w:cs="Times New Roman"/>
        </w:rPr>
        <w:t>Self</w:t>
      </w:r>
      <w:r>
        <w:rPr>
          <w:rFonts w:ascii="Times New Roman" w:hAnsi="Times New Roman" w:cs="Times New Roman"/>
        </w:rPr>
        <w:t>-</w:t>
      </w:r>
      <w:r w:rsidRPr="00196C9A">
        <w:rPr>
          <w:rFonts w:ascii="Times New Roman" w:hAnsi="Times New Roman" w:cs="Times New Roman"/>
        </w:rPr>
        <w:t>closing</w:t>
      </w:r>
      <w:r w:rsidR="009700BF" w:rsidRPr="00196C9A">
        <w:rPr>
          <w:rFonts w:ascii="Times New Roman" w:hAnsi="Times New Roman" w:cs="Times New Roman"/>
        </w:rPr>
        <w:t xml:space="preserve"> and locking doors with controlled access while work is conducted</w:t>
      </w:r>
    </w:p>
    <w:p w14:paraId="0B9DE428" w14:textId="23F7678A" w:rsidR="00601D7F" w:rsidRPr="00196C9A" w:rsidRDefault="00601D7F" w:rsidP="00525DFF">
      <w:pPr>
        <w:pStyle w:val="ListParagraph"/>
        <w:numPr>
          <w:ilvl w:val="0"/>
          <w:numId w:val="8"/>
        </w:numPr>
        <w:tabs>
          <w:tab w:val="left" w:pos="360"/>
        </w:tabs>
        <w:autoSpaceDE w:val="0"/>
        <w:autoSpaceDN w:val="0"/>
        <w:adjustRightInd w:val="0"/>
        <w:spacing w:after="120" w:line="240" w:lineRule="auto"/>
        <w:ind w:left="1080"/>
        <w:rPr>
          <w:rFonts w:ascii="Times New Roman" w:hAnsi="Times New Roman" w:cs="Times New Roman"/>
        </w:rPr>
      </w:pPr>
      <w:r w:rsidRPr="00196C9A">
        <w:rPr>
          <w:rFonts w:ascii="Times New Roman" w:hAnsi="Times New Roman" w:cs="Times New Roman"/>
        </w:rPr>
        <w:t>An emergency generator in case of a power failure</w:t>
      </w:r>
    </w:p>
    <w:p w14:paraId="62B1CC65" w14:textId="77777777" w:rsidR="00BB5B8F" w:rsidRPr="00196C9A" w:rsidRDefault="00E87490" w:rsidP="00886B56">
      <w:pPr>
        <w:tabs>
          <w:tab w:val="left" w:pos="360"/>
        </w:tabs>
        <w:autoSpaceDE w:val="0"/>
        <w:autoSpaceDN w:val="0"/>
        <w:adjustRightInd w:val="0"/>
        <w:spacing w:after="120" w:line="240" w:lineRule="auto"/>
        <w:contextualSpacing/>
        <w:rPr>
          <w:rFonts w:ascii="Times New Roman" w:hAnsi="Times New Roman" w:cs="Times New Roman"/>
        </w:rPr>
      </w:pPr>
      <w:r w:rsidRPr="00196C9A">
        <w:rPr>
          <w:rFonts w:ascii="Times New Roman" w:hAnsi="Times New Roman" w:cs="Times New Roman"/>
          <w:b/>
          <w:u w:val="single"/>
        </w:rPr>
        <w:t>Personal Protective Equipment (PPE)</w:t>
      </w:r>
      <w:r w:rsidRPr="00196C9A">
        <w:rPr>
          <w:rFonts w:ascii="Times New Roman" w:hAnsi="Times New Roman" w:cs="Times New Roman"/>
        </w:rPr>
        <w:t xml:space="preserve"> </w:t>
      </w:r>
    </w:p>
    <w:p w14:paraId="33940242" w14:textId="21DAD1DD" w:rsidR="00290784" w:rsidRPr="00196C9A" w:rsidRDefault="003C5799" w:rsidP="00886B56">
      <w:pPr>
        <w:tabs>
          <w:tab w:val="left" w:pos="360"/>
        </w:tabs>
        <w:autoSpaceDE w:val="0"/>
        <w:autoSpaceDN w:val="0"/>
        <w:adjustRightInd w:val="0"/>
        <w:spacing w:after="120" w:line="240" w:lineRule="auto"/>
        <w:contextualSpacing/>
        <w:rPr>
          <w:rFonts w:ascii="Times New Roman" w:hAnsi="Times New Roman" w:cs="Times New Roman"/>
          <w:u w:val="single"/>
        </w:rPr>
      </w:pPr>
      <w:r w:rsidRPr="00196C9A">
        <w:rPr>
          <w:rFonts w:ascii="Times New Roman" w:hAnsi="Times New Roman" w:cs="Times New Roman"/>
        </w:rPr>
        <w:t xml:space="preserve">An essential component of risk mitigation is PPE. </w:t>
      </w:r>
      <w:r w:rsidR="00886B56" w:rsidRPr="00196C9A">
        <w:rPr>
          <w:rFonts w:ascii="Times New Roman" w:hAnsi="Times New Roman" w:cs="Times New Roman"/>
        </w:rPr>
        <w:t>The s</w:t>
      </w:r>
      <w:r w:rsidR="007931AB" w:rsidRPr="00196C9A">
        <w:rPr>
          <w:rFonts w:ascii="Times New Roman" w:hAnsi="Times New Roman" w:cs="Times New Roman"/>
        </w:rPr>
        <w:t xml:space="preserve">taff follow </w:t>
      </w:r>
      <w:r w:rsidRPr="00196C9A">
        <w:rPr>
          <w:rFonts w:ascii="Times New Roman" w:hAnsi="Times New Roman" w:cs="Times New Roman"/>
        </w:rPr>
        <w:t xml:space="preserve">recommendations in </w:t>
      </w:r>
      <w:r w:rsidRPr="00196C9A">
        <w:rPr>
          <w:rFonts w:ascii="Times New Roman" w:hAnsi="Times New Roman" w:cs="Times New Roman"/>
          <w:b/>
        </w:rPr>
        <w:t>BMBL</w:t>
      </w:r>
      <w:r w:rsidR="00525DFF" w:rsidRPr="00196C9A">
        <w:rPr>
          <w:rFonts w:ascii="Times New Roman" w:hAnsi="Times New Roman" w:cs="Times New Roman"/>
          <w:b/>
        </w:rPr>
        <w:t>6</w:t>
      </w:r>
      <w:r w:rsidRPr="00196C9A">
        <w:rPr>
          <w:rFonts w:ascii="Times New Roman" w:hAnsi="Times New Roman" w:cs="Times New Roman"/>
        </w:rPr>
        <w:t xml:space="preserve"> and the</w:t>
      </w:r>
      <w:r w:rsidR="005D7A40" w:rsidRPr="00196C9A">
        <w:rPr>
          <w:rFonts w:ascii="Times New Roman" w:hAnsi="Times New Roman" w:cs="Times New Roman"/>
        </w:rPr>
        <w:t xml:space="preserve"> NIH Guidelines for Research Involving Recombinant DNA Molecules</w:t>
      </w:r>
      <w:r w:rsidR="009B3113" w:rsidRPr="00196C9A">
        <w:rPr>
          <w:rFonts w:ascii="Times New Roman" w:hAnsi="Times New Roman" w:cs="Times New Roman"/>
        </w:rPr>
        <w:t xml:space="preserve"> (2)</w:t>
      </w:r>
      <w:r w:rsidR="00601D7F" w:rsidRPr="00196C9A">
        <w:rPr>
          <w:rFonts w:ascii="Times New Roman" w:hAnsi="Times New Roman" w:cs="Times New Roman"/>
        </w:rPr>
        <w:t>.</w:t>
      </w:r>
    </w:p>
    <w:p w14:paraId="37A61F77" w14:textId="77777777" w:rsidR="00886B56" w:rsidRPr="00196C9A" w:rsidRDefault="00886B56" w:rsidP="00886B56">
      <w:pPr>
        <w:tabs>
          <w:tab w:val="left" w:pos="360"/>
        </w:tabs>
        <w:autoSpaceDE w:val="0"/>
        <w:autoSpaceDN w:val="0"/>
        <w:adjustRightInd w:val="0"/>
        <w:spacing w:after="120" w:line="240" w:lineRule="auto"/>
        <w:ind w:left="360"/>
        <w:contextualSpacing/>
        <w:rPr>
          <w:rFonts w:ascii="Times New Roman" w:hAnsi="Times New Roman" w:cs="Times New Roman"/>
          <w:u w:val="single"/>
        </w:rPr>
      </w:pPr>
    </w:p>
    <w:p w14:paraId="502761B6" w14:textId="77777777" w:rsidR="0008006F" w:rsidRPr="00196C9A" w:rsidRDefault="0008006F" w:rsidP="00886B56">
      <w:pPr>
        <w:tabs>
          <w:tab w:val="left" w:pos="360"/>
        </w:tabs>
        <w:autoSpaceDE w:val="0"/>
        <w:autoSpaceDN w:val="0"/>
        <w:adjustRightInd w:val="0"/>
        <w:spacing w:after="120" w:line="240" w:lineRule="auto"/>
        <w:ind w:left="360"/>
        <w:contextualSpacing/>
        <w:rPr>
          <w:rFonts w:ascii="Times New Roman" w:hAnsi="Times New Roman" w:cs="Times New Roman"/>
          <w:u w:val="single"/>
        </w:rPr>
      </w:pPr>
      <w:r w:rsidRPr="00196C9A">
        <w:rPr>
          <w:rFonts w:ascii="Times New Roman" w:hAnsi="Times New Roman" w:cs="Times New Roman"/>
          <w:u w:val="single"/>
        </w:rPr>
        <w:t>BSL-2 PPE:</w:t>
      </w:r>
    </w:p>
    <w:p w14:paraId="11DC64C0" w14:textId="77777777" w:rsidR="0008006F" w:rsidRPr="00196C9A" w:rsidRDefault="009F57A9" w:rsidP="00290784">
      <w:pPr>
        <w:pStyle w:val="ListParagraph"/>
        <w:numPr>
          <w:ilvl w:val="0"/>
          <w:numId w:val="9"/>
        </w:numPr>
        <w:tabs>
          <w:tab w:val="left" w:pos="360"/>
        </w:tabs>
        <w:autoSpaceDE w:val="0"/>
        <w:autoSpaceDN w:val="0"/>
        <w:adjustRightInd w:val="0"/>
        <w:spacing w:after="120" w:line="240" w:lineRule="auto"/>
        <w:rPr>
          <w:rFonts w:ascii="Times New Roman" w:hAnsi="Times New Roman" w:cs="Times New Roman"/>
        </w:rPr>
      </w:pPr>
      <w:r w:rsidRPr="00196C9A">
        <w:rPr>
          <w:rFonts w:ascii="Times New Roman" w:hAnsi="Times New Roman" w:cs="Times New Roman"/>
        </w:rPr>
        <w:t>Lab coat</w:t>
      </w:r>
    </w:p>
    <w:p w14:paraId="4F11E73A" w14:textId="77777777" w:rsidR="0008006F" w:rsidRPr="00196C9A" w:rsidRDefault="009F57A9">
      <w:pPr>
        <w:pStyle w:val="ListParagraph"/>
        <w:numPr>
          <w:ilvl w:val="0"/>
          <w:numId w:val="9"/>
        </w:numPr>
        <w:tabs>
          <w:tab w:val="left" w:pos="360"/>
        </w:tabs>
        <w:autoSpaceDE w:val="0"/>
        <w:autoSpaceDN w:val="0"/>
        <w:adjustRightInd w:val="0"/>
        <w:spacing w:after="120" w:line="240" w:lineRule="auto"/>
        <w:rPr>
          <w:rFonts w:ascii="Times New Roman" w:hAnsi="Times New Roman" w:cs="Times New Roman"/>
        </w:rPr>
      </w:pPr>
      <w:r w:rsidRPr="00196C9A">
        <w:rPr>
          <w:rFonts w:ascii="Times New Roman" w:hAnsi="Times New Roman" w:cs="Times New Roman"/>
        </w:rPr>
        <w:t>Safety glasses</w:t>
      </w:r>
    </w:p>
    <w:p w14:paraId="211A4418" w14:textId="1E439C1F" w:rsidR="00290784" w:rsidRPr="00196C9A" w:rsidRDefault="009F57A9" w:rsidP="00886B56">
      <w:pPr>
        <w:pStyle w:val="ListParagraph"/>
        <w:numPr>
          <w:ilvl w:val="0"/>
          <w:numId w:val="9"/>
        </w:numPr>
        <w:tabs>
          <w:tab w:val="left" w:pos="360"/>
        </w:tabs>
        <w:autoSpaceDE w:val="0"/>
        <w:autoSpaceDN w:val="0"/>
        <w:adjustRightInd w:val="0"/>
        <w:spacing w:after="120" w:line="240" w:lineRule="auto"/>
        <w:rPr>
          <w:rFonts w:ascii="Times New Roman" w:hAnsi="Times New Roman" w:cs="Times New Roman"/>
          <w:u w:val="single"/>
        </w:rPr>
      </w:pPr>
      <w:r w:rsidRPr="00196C9A">
        <w:rPr>
          <w:rFonts w:ascii="Times New Roman" w:hAnsi="Times New Roman" w:cs="Times New Roman"/>
        </w:rPr>
        <w:t>Nitrile gloves</w:t>
      </w:r>
    </w:p>
    <w:p w14:paraId="6C8CDD9B" w14:textId="22EBA9DD" w:rsidR="00290784" w:rsidRPr="00196C9A" w:rsidRDefault="0008006F" w:rsidP="00886B56">
      <w:pPr>
        <w:tabs>
          <w:tab w:val="left" w:pos="360"/>
        </w:tabs>
        <w:autoSpaceDE w:val="0"/>
        <w:autoSpaceDN w:val="0"/>
        <w:adjustRightInd w:val="0"/>
        <w:spacing w:after="120" w:line="240" w:lineRule="auto"/>
        <w:contextualSpacing/>
        <w:rPr>
          <w:rFonts w:ascii="Times New Roman" w:hAnsi="Times New Roman" w:cs="Times New Roman"/>
        </w:rPr>
      </w:pPr>
      <w:r w:rsidRPr="00196C9A">
        <w:rPr>
          <w:rFonts w:ascii="Times New Roman" w:hAnsi="Times New Roman" w:cs="Times New Roman"/>
        </w:rPr>
        <w:t xml:space="preserve">When exiting the BSL-2, PPE is removed in a particular order and hands are washed with soap and water. </w:t>
      </w:r>
    </w:p>
    <w:p w14:paraId="02C38E91" w14:textId="77777777" w:rsidR="00601D7F" w:rsidRPr="00196C9A" w:rsidRDefault="00601D7F" w:rsidP="00886B56">
      <w:pPr>
        <w:tabs>
          <w:tab w:val="left" w:pos="360"/>
        </w:tabs>
        <w:autoSpaceDE w:val="0"/>
        <w:autoSpaceDN w:val="0"/>
        <w:adjustRightInd w:val="0"/>
        <w:spacing w:after="120" w:line="240" w:lineRule="auto"/>
        <w:contextualSpacing/>
        <w:rPr>
          <w:rFonts w:ascii="Times New Roman" w:hAnsi="Times New Roman" w:cs="Times New Roman"/>
        </w:rPr>
      </w:pPr>
    </w:p>
    <w:p w14:paraId="6F6A9E0D" w14:textId="77777777" w:rsidR="00BB5B8F" w:rsidRPr="00196C9A" w:rsidRDefault="00BD380A" w:rsidP="00886B56">
      <w:pPr>
        <w:tabs>
          <w:tab w:val="left" w:pos="360"/>
        </w:tabs>
        <w:autoSpaceDE w:val="0"/>
        <w:autoSpaceDN w:val="0"/>
        <w:adjustRightInd w:val="0"/>
        <w:spacing w:after="120" w:line="240" w:lineRule="auto"/>
        <w:contextualSpacing/>
        <w:rPr>
          <w:rFonts w:ascii="Times New Roman" w:hAnsi="Times New Roman" w:cs="Times New Roman"/>
          <w:b/>
          <w:u w:val="single"/>
        </w:rPr>
      </w:pPr>
      <w:r w:rsidRPr="00196C9A">
        <w:rPr>
          <w:rFonts w:ascii="Times New Roman" w:hAnsi="Times New Roman" w:cs="Times New Roman"/>
          <w:b/>
          <w:u w:val="single"/>
        </w:rPr>
        <w:t>Operational precautions</w:t>
      </w:r>
    </w:p>
    <w:p w14:paraId="731E7D84" w14:textId="57A85250" w:rsidR="00290784" w:rsidRPr="00196C9A" w:rsidRDefault="00BB5B8F" w:rsidP="00886B56">
      <w:pPr>
        <w:tabs>
          <w:tab w:val="left" w:pos="360"/>
        </w:tabs>
        <w:autoSpaceDE w:val="0"/>
        <w:autoSpaceDN w:val="0"/>
        <w:adjustRightInd w:val="0"/>
        <w:spacing w:after="120" w:line="240" w:lineRule="auto"/>
        <w:contextualSpacing/>
        <w:rPr>
          <w:rFonts w:ascii="Times New Roman" w:hAnsi="Times New Roman" w:cs="Times New Roman"/>
        </w:rPr>
      </w:pPr>
      <w:r w:rsidRPr="00196C9A">
        <w:rPr>
          <w:rFonts w:ascii="Times New Roman" w:hAnsi="Times New Roman" w:cs="Times New Roman"/>
        </w:rPr>
        <w:t>In addition to the facility and PPE-mediated risk mitigation practices, s</w:t>
      </w:r>
      <w:r w:rsidR="00BD380A" w:rsidRPr="00196C9A">
        <w:rPr>
          <w:rFonts w:ascii="Times New Roman" w:hAnsi="Times New Roman" w:cs="Times New Roman"/>
        </w:rPr>
        <w:t xml:space="preserve">tandard </w:t>
      </w:r>
      <w:r w:rsidRPr="00196C9A">
        <w:rPr>
          <w:rFonts w:ascii="Times New Roman" w:hAnsi="Times New Roman" w:cs="Times New Roman"/>
        </w:rPr>
        <w:t>o</w:t>
      </w:r>
      <w:r w:rsidR="00BD380A" w:rsidRPr="00196C9A">
        <w:rPr>
          <w:rFonts w:ascii="Times New Roman" w:hAnsi="Times New Roman" w:cs="Times New Roman"/>
        </w:rPr>
        <w:t xml:space="preserve">perating </w:t>
      </w:r>
      <w:r w:rsidRPr="00196C9A">
        <w:rPr>
          <w:rFonts w:ascii="Times New Roman" w:hAnsi="Times New Roman" w:cs="Times New Roman"/>
        </w:rPr>
        <w:t>p</w:t>
      </w:r>
      <w:r w:rsidR="00BD380A" w:rsidRPr="00196C9A">
        <w:rPr>
          <w:rFonts w:ascii="Times New Roman" w:hAnsi="Times New Roman" w:cs="Times New Roman"/>
        </w:rPr>
        <w:t xml:space="preserve">rocedures (SOPs) provide risk mitigation. All activities in the </w:t>
      </w:r>
      <w:r w:rsidR="00B53EB8" w:rsidRPr="00196C9A">
        <w:rPr>
          <w:rFonts w:ascii="Times New Roman" w:hAnsi="Times New Roman" w:cs="Times New Roman"/>
          <w:highlight w:val="yellow"/>
        </w:rPr>
        <w:t>___</w:t>
      </w:r>
      <w:r w:rsidR="00D21FA8" w:rsidRPr="00196C9A">
        <w:rPr>
          <w:rFonts w:ascii="Times New Roman" w:hAnsi="Times New Roman" w:cs="Times New Roman"/>
        </w:rPr>
        <w:t xml:space="preserve"> </w:t>
      </w:r>
      <w:r w:rsidR="002C3839" w:rsidRPr="00196C9A">
        <w:rPr>
          <w:rFonts w:ascii="Times New Roman" w:hAnsi="Times New Roman" w:cs="Times New Roman"/>
        </w:rPr>
        <w:t>laborator</w:t>
      </w:r>
      <w:r w:rsidR="00D21FA8" w:rsidRPr="00196C9A">
        <w:rPr>
          <w:rFonts w:ascii="Times New Roman" w:hAnsi="Times New Roman" w:cs="Times New Roman"/>
        </w:rPr>
        <w:t>y</w:t>
      </w:r>
      <w:r w:rsidR="00BD380A" w:rsidRPr="00196C9A">
        <w:rPr>
          <w:rFonts w:ascii="Times New Roman" w:hAnsi="Times New Roman" w:cs="Times New Roman"/>
        </w:rPr>
        <w:t xml:space="preserve"> are described in detailed SOPs including emergency response plans.</w:t>
      </w:r>
    </w:p>
    <w:p w14:paraId="0EE43AB2" w14:textId="77777777" w:rsidR="00BB5B8F" w:rsidRPr="00196C9A" w:rsidRDefault="00BB5B8F" w:rsidP="00886B56">
      <w:pPr>
        <w:tabs>
          <w:tab w:val="left" w:pos="360"/>
        </w:tabs>
        <w:autoSpaceDE w:val="0"/>
        <w:autoSpaceDN w:val="0"/>
        <w:adjustRightInd w:val="0"/>
        <w:spacing w:after="120" w:line="240" w:lineRule="auto"/>
        <w:contextualSpacing/>
        <w:rPr>
          <w:rFonts w:ascii="Times New Roman" w:hAnsi="Times New Roman" w:cs="Times New Roman"/>
        </w:rPr>
      </w:pPr>
    </w:p>
    <w:p w14:paraId="78F27E02" w14:textId="3A3CB567" w:rsidR="00BB5B8F" w:rsidRPr="00196C9A" w:rsidRDefault="00BB5B8F" w:rsidP="00BB5B8F">
      <w:pPr>
        <w:tabs>
          <w:tab w:val="left" w:pos="360"/>
        </w:tabs>
        <w:autoSpaceDE w:val="0"/>
        <w:autoSpaceDN w:val="0"/>
        <w:adjustRightInd w:val="0"/>
        <w:spacing w:after="120" w:line="240" w:lineRule="auto"/>
        <w:contextualSpacing/>
        <w:jc w:val="both"/>
        <w:rPr>
          <w:rFonts w:ascii="Times New Roman" w:hAnsi="Times New Roman" w:cs="Times New Roman"/>
        </w:rPr>
      </w:pPr>
      <w:r w:rsidRPr="00196C9A">
        <w:rPr>
          <w:rFonts w:ascii="Times New Roman" w:hAnsi="Times New Roman" w:cs="Times New Roman"/>
          <w:b/>
          <w:bCs/>
          <w:u w:val="single"/>
        </w:rPr>
        <w:t>Inventory and tracking</w:t>
      </w:r>
    </w:p>
    <w:p w14:paraId="451CB257" w14:textId="20C1DCBE" w:rsidR="00BB5B8F" w:rsidRPr="00196C9A" w:rsidRDefault="00B35460" w:rsidP="00BB5B8F">
      <w:pPr>
        <w:tabs>
          <w:tab w:val="left" w:pos="360"/>
        </w:tabs>
        <w:autoSpaceDE w:val="0"/>
        <w:autoSpaceDN w:val="0"/>
        <w:adjustRightInd w:val="0"/>
        <w:spacing w:after="120" w:line="240" w:lineRule="auto"/>
        <w:jc w:val="both"/>
        <w:rPr>
          <w:rFonts w:ascii="Times New Roman" w:hAnsi="Times New Roman" w:cs="Times New Roman"/>
        </w:rPr>
      </w:pPr>
      <w:r w:rsidRPr="00196C9A">
        <w:rPr>
          <w:rFonts w:ascii="Times New Roman" w:hAnsi="Times New Roman" w:cs="Times New Roman"/>
        </w:rPr>
        <w:t>Select Agents and Toxins are inventoried and tracked from acquisition to destruction, as outlined in our Select Agent Plans and agent-specific SOPs. Biological materials considered to be Category 1 or Category 2 research under the 2024 USG Policy will be inventoried from creation to disposition, as outlined in the laboratory-specific SOP.</w:t>
      </w:r>
    </w:p>
    <w:p w14:paraId="1257262E" w14:textId="77777777" w:rsidR="00601D7F" w:rsidRPr="00196C9A" w:rsidRDefault="00601D7F" w:rsidP="00886B56">
      <w:pPr>
        <w:tabs>
          <w:tab w:val="left" w:pos="360"/>
        </w:tabs>
        <w:autoSpaceDE w:val="0"/>
        <w:autoSpaceDN w:val="0"/>
        <w:adjustRightInd w:val="0"/>
        <w:spacing w:after="120" w:line="240" w:lineRule="auto"/>
        <w:contextualSpacing/>
        <w:rPr>
          <w:rFonts w:ascii="Times New Roman" w:hAnsi="Times New Roman" w:cs="Times New Roman"/>
        </w:rPr>
      </w:pPr>
    </w:p>
    <w:p w14:paraId="1B1EDB8F" w14:textId="77777777" w:rsidR="00BB5B8F" w:rsidRPr="00196C9A" w:rsidRDefault="00BD380A" w:rsidP="00886B56">
      <w:pPr>
        <w:tabs>
          <w:tab w:val="left" w:pos="360"/>
        </w:tabs>
        <w:autoSpaceDE w:val="0"/>
        <w:autoSpaceDN w:val="0"/>
        <w:adjustRightInd w:val="0"/>
        <w:spacing w:after="120" w:line="240" w:lineRule="auto"/>
        <w:contextualSpacing/>
        <w:rPr>
          <w:rFonts w:ascii="Times New Roman" w:hAnsi="Times New Roman" w:cs="Times New Roman"/>
          <w:b/>
          <w:u w:val="single"/>
        </w:rPr>
      </w:pPr>
      <w:r w:rsidRPr="00196C9A">
        <w:rPr>
          <w:rFonts w:ascii="Times New Roman" w:hAnsi="Times New Roman" w:cs="Times New Roman"/>
          <w:b/>
          <w:u w:val="single"/>
        </w:rPr>
        <w:t>Personnel</w:t>
      </w:r>
    </w:p>
    <w:p w14:paraId="29A1A3F8" w14:textId="1AAAAE5F" w:rsidR="00601D7F" w:rsidRPr="00196C9A" w:rsidRDefault="00F827D7" w:rsidP="00886B56">
      <w:pPr>
        <w:tabs>
          <w:tab w:val="left" w:pos="360"/>
        </w:tabs>
        <w:autoSpaceDE w:val="0"/>
        <w:autoSpaceDN w:val="0"/>
        <w:adjustRightInd w:val="0"/>
        <w:spacing w:after="120" w:line="240" w:lineRule="auto"/>
        <w:contextualSpacing/>
        <w:rPr>
          <w:rFonts w:ascii="Times New Roman" w:hAnsi="Times New Roman" w:cs="Times New Roman"/>
        </w:rPr>
      </w:pPr>
      <w:r w:rsidRPr="00196C9A">
        <w:rPr>
          <w:rFonts w:ascii="Times New Roman" w:hAnsi="Times New Roman" w:cs="Times New Roman"/>
        </w:rPr>
        <w:t>Personnel working with Select Agents and non-exempt amounts of Select Toxins are registered with the Duke Select Agent and Toxin Registration and are subject to all the regulations under 42 CFR Part 73, 9 CFR Part 121, and 7 CFR Part 331. Briefly, this includes initial and ongoing training, a security risk assessment by the FBI, and enhanced requirements for personnel designated as Tier 1 personnel. All personnel working at BSL-3 or ABSL-3 follow a training program that includes initial and annual refresher classroom training, hands-on training, a dedicated mentorship, internal assessment, and an external assessment by OESO Biological Safety Division. Researchers identified as working with Category 1 or Category 2 research have additional training regarding the 2025 USG Policy. All researchers at Duke University working at BSL-2 have annual training requirements and a laboratory-specific SOP that must be reviewed and signed annually by the workers. BSL-2 SOPs are approved by OESO Biological Safety Division for a maximum of t</w:t>
      </w:r>
      <w:r w:rsidR="000B0A80" w:rsidRPr="00196C9A">
        <w:rPr>
          <w:rFonts w:ascii="Times New Roman" w:hAnsi="Times New Roman" w:cs="Times New Roman"/>
        </w:rPr>
        <w:t xml:space="preserve">hree years and reviewed annually during lab evaluations. </w:t>
      </w:r>
    </w:p>
    <w:p w14:paraId="06AF86CF" w14:textId="77777777" w:rsidR="00601D7F" w:rsidRPr="00196C9A" w:rsidRDefault="00601D7F" w:rsidP="00886B56">
      <w:pPr>
        <w:tabs>
          <w:tab w:val="left" w:pos="360"/>
        </w:tabs>
        <w:autoSpaceDE w:val="0"/>
        <w:autoSpaceDN w:val="0"/>
        <w:adjustRightInd w:val="0"/>
        <w:spacing w:after="120" w:line="240" w:lineRule="auto"/>
        <w:contextualSpacing/>
        <w:rPr>
          <w:rFonts w:ascii="Times New Roman" w:hAnsi="Times New Roman" w:cs="Times New Roman"/>
        </w:rPr>
      </w:pPr>
    </w:p>
    <w:p w14:paraId="4E4EC0A6" w14:textId="3E418E4D" w:rsidR="00926B97" w:rsidRPr="00196C9A" w:rsidRDefault="00354BB1" w:rsidP="00886B56">
      <w:pPr>
        <w:tabs>
          <w:tab w:val="left" w:pos="360"/>
        </w:tabs>
        <w:spacing w:after="120" w:line="240" w:lineRule="auto"/>
        <w:contextualSpacing/>
        <w:rPr>
          <w:rFonts w:ascii="Times New Roman" w:hAnsi="Times New Roman" w:cs="Times New Roman"/>
        </w:rPr>
      </w:pPr>
      <w:r w:rsidRPr="00196C9A">
        <w:rPr>
          <w:rFonts w:ascii="Times New Roman" w:hAnsi="Times New Roman" w:cs="Times New Roman"/>
          <w:b/>
          <w:u w:val="single"/>
        </w:rPr>
        <w:t xml:space="preserve">Occupational </w:t>
      </w:r>
      <w:r w:rsidR="001073EB" w:rsidRPr="00196C9A">
        <w:rPr>
          <w:rFonts w:ascii="Times New Roman" w:hAnsi="Times New Roman" w:cs="Times New Roman"/>
          <w:b/>
          <w:u w:val="single"/>
        </w:rPr>
        <w:t>h</w:t>
      </w:r>
      <w:r w:rsidRPr="00196C9A">
        <w:rPr>
          <w:rFonts w:ascii="Times New Roman" w:hAnsi="Times New Roman" w:cs="Times New Roman"/>
          <w:b/>
          <w:u w:val="single"/>
        </w:rPr>
        <w:t xml:space="preserve">ealth </w:t>
      </w:r>
      <w:r w:rsidR="001073EB" w:rsidRPr="00196C9A">
        <w:rPr>
          <w:rFonts w:ascii="Times New Roman" w:hAnsi="Times New Roman" w:cs="Times New Roman"/>
          <w:b/>
          <w:u w:val="single"/>
        </w:rPr>
        <w:t>p</w:t>
      </w:r>
      <w:r w:rsidRPr="00196C9A">
        <w:rPr>
          <w:rFonts w:ascii="Times New Roman" w:hAnsi="Times New Roman" w:cs="Times New Roman"/>
          <w:b/>
          <w:u w:val="single"/>
        </w:rPr>
        <w:t>lan.</w:t>
      </w:r>
      <w:r w:rsidRPr="00196C9A">
        <w:rPr>
          <w:rFonts w:ascii="Times New Roman" w:hAnsi="Times New Roman" w:cs="Times New Roman"/>
        </w:rPr>
        <w:t xml:space="preserve"> </w:t>
      </w:r>
    </w:p>
    <w:p w14:paraId="10BB4A37" w14:textId="2E874043" w:rsidR="00601D7F" w:rsidRPr="00196C9A" w:rsidRDefault="00A47F98" w:rsidP="00601D7F">
      <w:pPr>
        <w:tabs>
          <w:tab w:val="left" w:pos="360"/>
        </w:tabs>
        <w:spacing w:after="120" w:line="240" w:lineRule="auto"/>
        <w:contextualSpacing/>
        <w:jc w:val="both"/>
        <w:rPr>
          <w:rFonts w:ascii="Times New Roman" w:hAnsi="Times New Roman" w:cs="Times New Roman"/>
        </w:rPr>
      </w:pPr>
      <w:r w:rsidRPr="00196C9A">
        <w:rPr>
          <w:rFonts w:ascii="Times New Roman" w:hAnsi="Times New Roman" w:cs="Times New Roman"/>
        </w:rPr>
        <w:t xml:space="preserve">Each BSL-2 SOP approved by OESO Biological Safety Division outlines the medical surveillance necessary or recommended for the biological material of the SOP. The SOP also outlines actions to take if a spill and/or exposure occurs, namely disinfection and reporting to Employee Occupational Health and Wellness (EOHW). EOHW is also available for questions regarding individual </w:t>
      </w:r>
      <w:r w:rsidR="005103E2" w:rsidRPr="00196C9A">
        <w:rPr>
          <w:rFonts w:ascii="Times New Roman" w:hAnsi="Times New Roman" w:cs="Times New Roman"/>
        </w:rPr>
        <w:t>concerns.</w:t>
      </w:r>
      <w:r w:rsidRPr="00196C9A">
        <w:rPr>
          <w:rFonts w:ascii="Times New Roman" w:hAnsi="Times New Roman" w:cs="Times New Roman"/>
        </w:rPr>
        <w:t xml:space="preserve"> Personnel who work or enter the BSL-3/ABSL-3 environment have an annual High Containment Health Review that is personalized to the worker and the hazards they may encounter. Specifics are outlined in agent specific SOPs, hazard specific signage, and the Select Agent plans. Duke University also has university-wide exposure control plans for tuberculosis and bloodborne pathogens. All policies and plans require reporting to EOHW for all potential exposures.</w:t>
      </w:r>
      <w:r w:rsidR="00FC50D7" w:rsidRPr="00196C9A">
        <w:rPr>
          <w:rFonts w:ascii="Times New Roman" w:hAnsi="Times New Roman" w:cs="Times New Roman"/>
        </w:rPr>
        <w:t xml:space="preserve"> </w:t>
      </w:r>
      <w:r w:rsidR="00601D7F" w:rsidRPr="00196C9A">
        <w:rPr>
          <w:rFonts w:ascii="Times New Roman" w:hAnsi="Times New Roman" w:cs="Times New Roman"/>
        </w:rPr>
        <w:t xml:space="preserve">The laboratory occupational health plan operates in compliance with the </w:t>
      </w:r>
      <w:r w:rsidR="00601D7F" w:rsidRPr="00196C9A">
        <w:rPr>
          <w:rFonts w:ascii="Times New Roman" w:hAnsi="Times New Roman" w:cs="Times New Roman"/>
          <w:highlight w:val="yellow"/>
        </w:rPr>
        <w:t>institution’s</w:t>
      </w:r>
      <w:r w:rsidR="00601D7F" w:rsidRPr="00196C9A">
        <w:rPr>
          <w:rFonts w:ascii="Times New Roman" w:hAnsi="Times New Roman" w:cs="Times New Roman"/>
        </w:rPr>
        <w:t xml:space="preserve"> Occupational Medicine Program. The exposure control plan requires reporting to </w:t>
      </w:r>
      <w:r w:rsidR="00601D7F" w:rsidRPr="00196C9A">
        <w:rPr>
          <w:rFonts w:ascii="Times New Roman" w:hAnsi="Times New Roman" w:cs="Times New Roman"/>
          <w:highlight w:val="yellow"/>
        </w:rPr>
        <w:t>Dr. ____</w:t>
      </w:r>
      <w:r w:rsidR="00601D7F" w:rsidRPr="00196C9A">
        <w:rPr>
          <w:rFonts w:ascii="Times New Roman" w:hAnsi="Times New Roman" w:cs="Times New Roman"/>
        </w:rPr>
        <w:t xml:space="preserve"> and the Responsible Official (RO) of all symptoms associated with </w:t>
      </w:r>
      <w:r w:rsidR="00601D7F" w:rsidRPr="00196C9A">
        <w:rPr>
          <w:rFonts w:ascii="Times New Roman" w:hAnsi="Times New Roman" w:cs="Times New Roman"/>
          <w:highlight w:val="yellow"/>
        </w:rPr>
        <w:t>________</w:t>
      </w:r>
      <w:r w:rsidR="00601D7F" w:rsidRPr="00196C9A">
        <w:rPr>
          <w:rFonts w:ascii="Times New Roman" w:hAnsi="Times New Roman" w:cs="Times New Roman"/>
        </w:rPr>
        <w:t xml:space="preserve"> and any instance of a potential exposure. </w:t>
      </w:r>
      <w:r w:rsidR="006B66EE" w:rsidRPr="00196C9A">
        <w:rPr>
          <w:rFonts w:ascii="Times New Roman" w:hAnsi="Times New Roman" w:cs="Times New Roman"/>
        </w:rPr>
        <w:t xml:space="preserve">If </w:t>
      </w:r>
      <w:r w:rsidR="00196C9A" w:rsidRPr="00196C9A">
        <w:rPr>
          <w:rFonts w:ascii="Times New Roman" w:hAnsi="Times New Roman" w:cs="Times New Roman"/>
        </w:rPr>
        <w:t>exposure</w:t>
      </w:r>
      <w:r w:rsidR="006B66EE" w:rsidRPr="00196C9A">
        <w:rPr>
          <w:rFonts w:ascii="Times New Roman" w:hAnsi="Times New Roman" w:cs="Times New Roman"/>
        </w:rPr>
        <w:t xml:space="preserve"> occurs or symptoms </w:t>
      </w:r>
      <w:r w:rsidR="006B66EE" w:rsidRPr="00196C9A">
        <w:rPr>
          <w:rFonts w:ascii="Times New Roman" w:hAnsi="Times New Roman" w:cs="Times New Roman"/>
        </w:rPr>
        <w:lastRenderedPageBreak/>
        <w:t>develop, t</w:t>
      </w:r>
      <w:r w:rsidR="00601D7F" w:rsidRPr="00196C9A">
        <w:rPr>
          <w:rFonts w:ascii="Times New Roman" w:hAnsi="Times New Roman" w:cs="Times New Roman"/>
        </w:rPr>
        <w:t>he RO will communicate with the Infectious Disease Physician and Public Health authorities to ensure the individual gets treatment in an extremely timely manner</w:t>
      </w:r>
      <w:r w:rsidRPr="00196C9A">
        <w:rPr>
          <w:rFonts w:ascii="Times New Roman" w:hAnsi="Times New Roman" w:cs="Times New Roman"/>
        </w:rPr>
        <w:t>.</w:t>
      </w:r>
    </w:p>
    <w:p w14:paraId="68F1501C" w14:textId="77777777" w:rsidR="00601D7F" w:rsidRPr="00196C9A" w:rsidRDefault="00601D7F" w:rsidP="00886B56">
      <w:pPr>
        <w:tabs>
          <w:tab w:val="left" w:pos="360"/>
        </w:tabs>
        <w:spacing w:after="120" w:line="240" w:lineRule="auto"/>
        <w:contextualSpacing/>
        <w:rPr>
          <w:rFonts w:ascii="Times New Roman" w:hAnsi="Times New Roman" w:cs="Times New Roman"/>
        </w:rPr>
      </w:pPr>
    </w:p>
    <w:p w14:paraId="3C59AE2B" w14:textId="1B582FDA" w:rsidR="003B7C8A" w:rsidRPr="00196C9A" w:rsidRDefault="008F595A" w:rsidP="00886B56">
      <w:pPr>
        <w:pStyle w:val="Heading2"/>
        <w:tabs>
          <w:tab w:val="left" w:pos="360"/>
        </w:tabs>
        <w:spacing w:before="0" w:beforeAutospacing="0" w:after="120" w:afterAutospacing="0"/>
        <w:contextualSpacing/>
        <w:rPr>
          <w:b w:val="0"/>
          <w:sz w:val="22"/>
          <w:szCs w:val="22"/>
        </w:rPr>
      </w:pPr>
      <w:r w:rsidRPr="00196C9A">
        <w:rPr>
          <w:sz w:val="22"/>
          <w:szCs w:val="22"/>
          <w:u w:val="single"/>
        </w:rPr>
        <w:t>Program oversight</w:t>
      </w:r>
    </w:p>
    <w:p w14:paraId="75BC6AB5" w14:textId="095A47FF" w:rsidR="00601D7F" w:rsidRPr="00196C9A" w:rsidRDefault="00601D7F" w:rsidP="00DF61D3">
      <w:pPr>
        <w:pStyle w:val="Heading2"/>
        <w:tabs>
          <w:tab w:val="left" w:pos="360"/>
        </w:tabs>
        <w:spacing w:before="0" w:beforeAutospacing="0" w:after="120" w:afterAutospacing="0"/>
        <w:contextualSpacing/>
        <w:jc w:val="both"/>
        <w:rPr>
          <w:b w:val="0"/>
          <w:sz w:val="22"/>
          <w:szCs w:val="22"/>
        </w:rPr>
      </w:pPr>
      <w:r w:rsidRPr="00196C9A">
        <w:rPr>
          <w:b w:val="0"/>
          <w:sz w:val="22"/>
          <w:szCs w:val="22"/>
        </w:rPr>
        <w:t xml:space="preserve">The research program, procedures, occupational health plan, documentation, security and facilities are reviewed annually by the RO and the Alternate Responsible Officials (AROs) and at regular intervals by the CDC as part of the institution’s Select Agent Program. </w:t>
      </w:r>
      <w:r w:rsidR="00196C9A" w:rsidRPr="00196C9A">
        <w:rPr>
          <w:b w:val="0"/>
          <w:sz w:val="22"/>
          <w:szCs w:val="22"/>
        </w:rPr>
        <w:t>Duke</w:t>
      </w:r>
      <w:r w:rsidR="009700BF" w:rsidRPr="00196C9A">
        <w:rPr>
          <w:b w:val="0"/>
          <w:sz w:val="22"/>
          <w:szCs w:val="22"/>
        </w:rPr>
        <w:t xml:space="preserve"> </w:t>
      </w:r>
      <w:r w:rsidRPr="00196C9A">
        <w:rPr>
          <w:b w:val="0"/>
          <w:sz w:val="22"/>
          <w:szCs w:val="22"/>
        </w:rPr>
        <w:t>RO</w:t>
      </w:r>
      <w:r w:rsidR="009700BF" w:rsidRPr="00196C9A">
        <w:rPr>
          <w:b w:val="0"/>
          <w:sz w:val="22"/>
          <w:szCs w:val="22"/>
        </w:rPr>
        <w:t xml:space="preserve"> and ICDUR </w:t>
      </w:r>
      <w:proofErr w:type="gramStart"/>
      <w:r w:rsidR="009700BF" w:rsidRPr="00196C9A">
        <w:rPr>
          <w:b w:val="0"/>
          <w:sz w:val="22"/>
          <w:szCs w:val="22"/>
        </w:rPr>
        <w:t>is</w:t>
      </w:r>
      <w:proofErr w:type="gramEnd"/>
      <w:r w:rsidRPr="00196C9A">
        <w:rPr>
          <w:b w:val="0"/>
          <w:sz w:val="22"/>
          <w:szCs w:val="22"/>
        </w:rPr>
        <w:t xml:space="preserve"> </w:t>
      </w:r>
      <w:r w:rsidR="009700BF" w:rsidRPr="00196C9A">
        <w:rPr>
          <w:b w:val="0"/>
          <w:sz w:val="22"/>
          <w:szCs w:val="22"/>
        </w:rPr>
        <w:t>Dr. Antony Schwartz</w:t>
      </w:r>
      <w:r w:rsidRPr="00196C9A">
        <w:rPr>
          <w:b w:val="0"/>
          <w:sz w:val="22"/>
          <w:szCs w:val="22"/>
        </w:rPr>
        <w:t xml:space="preserve">. All </w:t>
      </w:r>
      <w:r w:rsidR="00BB5B8F" w:rsidRPr="00196C9A">
        <w:rPr>
          <w:b w:val="0"/>
          <w:sz w:val="22"/>
          <w:szCs w:val="22"/>
        </w:rPr>
        <w:t>biosafety protocols</w:t>
      </w:r>
      <w:r w:rsidRPr="00196C9A">
        <w:rPr>
          <w:b w:val="0"/>
          <w:sz w:val="22"/>
          <w:szCs w:val="22"/>
        </w:rPr>
        <w:t xml:space="preserve"> are approved by the </w:t>
      </w:r>
      <w:r w:rsidR="009700BF" w:rsidRPr="00196C9A">
        <w:rPr>
          <w:b w:val="0"/>
          <w:sz w:val="22"/>
          <w:szCs w:val="22"/>
        </w:rPr>
        <w:t xml:space="preserve">Duke </w:t>
      </w:r>
      <w:r w:rsidRPr="00196C9A">
        <w:rPr>
          <w:b w:val="0"/>
          <w:sz w:val="22"/>
          <w:szCs w:val="22"/>
        </w:rPr>
        <w:t xml:space="preserve">Institutional Biosafety Committee </w:t>
      </w:r>
      <w:r w:rsidR="009700BF" w:rsidRPr="00196C9A">
        <w:rPr>
          <w:b w:val="0"/>
          <w:sz w:val="22"/>
          <w:szCs w:val="22"/>
        </w:rPr>
        <w:t xml:space="preserve">(IBC) </w:t>
      </w:r>
      <w:r w:rsidRPr="00196C9A">
        <w:rPr>
          <w:b w:val="0"/>
          <w:sz w:val="22"/>
          <w:szCs w:val="22"/>
        </w:rPr>
        <w:t>after risk assessments were conducted by the</w:t>
      </w:r>
      <w:r w:rsidR="009700BF" w:rsidRPr="00196C9A">
        <w:rPr>
          <w:b w:val="0"/>
          <w:sz w:val="22"/>
          <w:szCs w:val="22"/>
        </w:rPr>
        <w:t xml:space="preserve"> OESO</w:t>
      </w:r>
      <w:r w:rsidRPr="00196C9A">
        <w:rPr>
          <w:b w:val="0"/>
          <w:sz w:val="22"/>
          <w:szCs w:val="22"/>
        </w:rPr>
        <w:t xml:space="preserve"> Biological Safety</w:t>
      </w:r>
      <w:r w:rsidR="009700BF" w:rsidRPr="00196C9A">
        <w:rPr>
          <w:b w:val="0"/>
          <w:sz w:val="22"/>
          <w:szCs w:val="22"/>
        </w:rPr>
        <w:t xml:space="preserve"> Division</w:t>
      </w:r>
      <w:r w:rsidRPr="00196C9A">
        <w:rPr>
          <w:b w:val="0"/>
          <w:sz w:val="22"/>
          <w:szCs w:val="22"/>
        </w:rPr>
        <w:t xml:space="preserve">. In addition, </w:t>
      </w:r>
      <w:r w:rsidR="00196C9A" w:rsidRPr="00196C9A">
        <w:rPr>
          <w:b w:val="0"/>
          <w:sz w:val="22"/>
          <w:szCs w:val="22"/>
        </w:rPr>
        <w:t>the Biological</w:t>
      </w:r>
      <w:r w:rsidR="009700BF" w:rsidRPr="00196C9A">
        <w:rPr>
          <w:b w:val="0"/>
          <w:sz w:val="22"/>
          <w:szCs w:val="22"/>
        </w:rPr>
        <w:t xml:space="preserve"> Safety Division</w:t>
      </w:r>
      <w:r w:rsidRPr="00196C9A">
        <w:rPr>
          <w:b w:val="0"/>
          <w:sz w:val="22"/>
          <w:szCs w:val="22"/>
        </w:rPr>
        <w:t xml:space="preserve"> regularly reviews the research program and ongoing activities of the laboratory. The </w:t>
      </w:r>
      <w:r w:rsidR="009700BF" w:rsidRPr="00196C9A">
        <w:rPr>
          <w:b w:val="0"/>
          <w:sz w:val="22"/>
          <w:szCs w:val="22"/>
        </w:rPr>
        <w:t xml:space="preserve">Biological Safety Division </w:t>
      </w:r>
      <w:r w:rsidRPr="00196C9A">
        <w:rPr>
          <w:b w:val="0"/>
          <w:sz w:val="22"/>
          <w:szCs w:val="22"/>
        </w:rPr>
        <w:t xml:space="preserve">has a diverse skill set and provides support in the areas of biosafety, communications, facilities, compliance, legal, security and health. Members of the </w:t>
      </w:r>
      <w:r w:rsidR="009700BF" w:rsidRPr="00196C9A">
        <w:rPr>
          <w:b w:val="0"/>
          <w:sz w:val="22"/>
          <w:szCs w:val="22"/>
        </w:rPr>
        <w:t xml:space="preserve">Biological Safety Division </w:t>
      </w:r>
      <w:r w:rsidRPr="00196C9A">
        <w:rPr>
          <w:b w:val="0"/>
          <w:sz w:val="22"/>
          <w:szCs w:val="22"/>
        </w:rPr>
        <w:t xml:space="preserve">are in </w:t>
      </w:r>
      <w:r w:rsidR="009700BF" w:rsidRPr="00196C9A">
        <w:rPr>
          <w:b w:val="0"/>
          <w:sz w:val="22"/>
          <w:szCs w:val="22"/>
        </w:rPr>
        <w:t xml:space="preserve">regular </w:t>
      </w:r>
      <w:r w:rsidRPr="00196C9A">
        <w:rPr>
          <w:b w:val="0"/>
          <w:sz w:val="22"/>
          <w:szCs w:val="22"/>
        </w:rPr>
        <w:t xml:space="preserve">contact with the principal investigator and laboratory personnel to provide oversight and </w:t>
      </w:r>
      <w:proofErr w:type="gramStart"/>
      <w:r w:rsidRPr="00196C9A">
        <w:rPr>
          <w:b w:val="0"/>
          <w:sz w:val="22"/>
          <w:szCs w:val="22"/>
        </w:rPr>
        <w:t>assure</w:t>
      </w:r>
      <w:proofErr w:type="gramEnd"/>
      <w:r w:rsidRPr="00196C9A">
        <w:rPr>
          <w:b w:val="0"/>
          <w:sz w:val="22"/>
          <w:szCs w:val="22"/>
        </w:rPr>
        <w:t xml:space="preserve"> biosecurity. </w:t>
      </w:r>
      <w:r w:rsidR="00BB6B22" w:rsidRPr="00196C9A">
        <w:rPr>
          <w:b w:val="0"/>
          <w:sz w:val="22"/>
          <w:szCs w:val="22"/>
        </w:rPr>
        <w:t>At Duke t</w:t>
      </w:r>
      <w:r w:rsidRPr="00196C9A">
        <w:rPr>
          <w:b w:val="0"/>
          <w:sz w:val="22"/>
          <w:szCs w:val="22"/>
        </w:rPr>
        <w:t xml:space="preserve">he IRE is </w:t>
      </w:r>
      <w:r w:rsidR="00BB6B22" w:rsidRPr="00196C9A">
        <w:rPr>
          <w:b w:val="0"/>
          <w:sz w:val="22"/>
          <w:szCs w:val="22"/>
        </w:rPr>
        <w:t xml:space="preserve">the Institutional Biosafety Review </w:t>
      </w:r>
      <w:r w:rsidR="00196C9A" w:rsidRPr="00196C9A">
        <w:rPr>
          <w:b w:val="0"/>
          <w:sz w:val="22"/>
          <w:szCs w:val="22"/>
        </w:rPr>
        <w:t>Committee and</w:t>
      </w:r>
      <w:r w:rsidR="00883111" w:rsidRPr="00196C9A">
        <w:rPr>
          <w:b w:val="0"/>
          <w:sz w:val="22"/>
          <w:szCs w:val="22"/>
        </w:rPr>
        <w:t xml:space="preserve"> is managed by the Occupational and Environmental Safety Office Biological Safety Division. </w:t>
      </w:r>
    </w:p>
    <w:p w14:paraId="0E28A156" w14:textId="77777777" w:rsidR="00601D7F" w:rsidRPr="00196C9A" w:rsidRDefault="00601D7F" w:rsidP="00886B56">
      <w:pPr>
        <w:pStyle w:val="Heading2"/>
        <w:tabs>
          <w:tab w:val="left" w:pos="360"/>
        </w:tabs>
        <w:spacing w:before="0" w:beforeAutospacing="0" w:after="120" w:afterAutospacing="0"/>
        <w:contextualSpacing/>
        <w:rPr>
          <w:b w:val="0"/>
          <w:sz w:val="22"/>
          <w:szCs w:val="22"/>
        </w:rPr>
      </w:pPr>
    </w:p>
    <w:p w14:paraId="49030983" w14:textId="34CA0482" w:rsidR="00926B97" w:rsidRPr="00196C9A" w:rsidRDefault="00E73EE1" w:rsidP="00886B56">
      <w:pPr>
        <w:tabs>
          <w:tab w:val="left" w:pos="360"/>
        </w:tabs>
        <w:spacing w:after="120" w:line="240" w:lineRule="auto"/>
        <w:contextualSpacing/>
        <w:rPr>
          <w:rFonts w:ascii="Times New Roman" w:hAnsi="Times New Roman" w:cs="Times New Roman"/>
          <w:b/>
          <w:sz w:val="24"/>
          <w:szCs w:val="24"/>
        </w:rPr>
      </w:pPr>
      <w:r w:rsidRPr="00196C9A">
        <w:rPr>
          <w:rFonts w:ascii="Times New Roman" w:hAnsi="Times New Roman" w:cs="Times New Roman"/>
          <w:b/>
          <w:sz w:val="24"/>
          <w:szCs w:val="24"/>
        </w:rPr>
        <w:t xml:space="preserve">Evaluation of </w:t>
      </w:r>
      <w:r w:rsidR="001073EB" w:rsidRPr="00196C9A">
        <w:rPr>
          <w:rFonts w:ascii="Times New Roman" w:hAnsi="Times New Roman" w:cs="Times New Roman"/>
          <w:b/>
          <w:sz w:val="24"/>
          <w:szCs w:val="24"/>
        </w:rPr>
        <w:t>medical c</w:t>
      </w:r>
      <w:r w:rsidRPr="00196C9A">
        <w:rPr>
          <w:rFonts w:ascii="Times New Roman" w:hAnsi="Times New Roman" w:cs="Times New Roman"/>
          <w:b/>
          <w:sz w:val="24"/>
          <w:szCs w:val="24"/>
        </w:rPr>
        <w:t>ountermeasures</w:t>
      </w:r>
      <w:r w:rsidR="00196C9A" w:rsidRPr="00196C9A">
        <w:rPr>
          <w:rFonts w:ascii="Times New Roman" w:hAnsi="Times New Roman" w:cs="Times New Roman"/>
          <w:b/>
        </w:rPr>
        <w:t xml:space="preserve"> </w:t>
      </w:r>
      <w:r w:rsidR="00196C9A" w:rsidRPr="00196C9A">
        <w:rPr>
          <w:rFonts w:ascii="Times New Roman" w:hAnsi="Times New Roman" w:cs="Times New Roman"/>
          <w:bCs/>
        </w:rPr>
        <w:t>(this section will be customized based on the agent/toxin)</w:t>
      </w:r>
    </w:p>
    <w:p w14:paraId="74468F60" w14:textId="16A4C631" w:rsidR="00BB5B8F" w:rsidRPr="00196C9A" w:rsidRDefault="005103E2" w:rsidP="00886B56">
      <w:pPr>
        <w:tabs>
          <w:tab w:val="left" w:pos="360"/>
        </w:tabs>
        <w:spacing w:after="120" w:line="240" w:lineRule="auto"/>
        <w:contextualSpacing/>
        <w:rPr>
          <w:rFonts w:ascii="Times New Roman" w:hAnsi="Times New Roman" w:cs="Times New Roman"/>
          <w:szCs w:val="24"/>
        </w:rPr>
      </w:pPr>
      <w:r w:rsidRPr="00196C9A">
        <w:rPr>
          <w:rFonts w:ascii="Times New Roman" w:hAnsi="Times New Roman" w:cs="Times New Roman"/>
          <w:szCs w:val="24"/>
        </w:rPr>
        <w:t>Agent- or laboratory-specific SOPs contain a section for information regarding vaccination, prophylaxis, or antibiotics/antiviral regimens, if available. This information is reviewed by a committee including OESO Biological Safety, EOHW, Duke Infectious Disease Physicians, and laboratory safety representatives, as needed. SOPs, as explained above, are approved by OESO Biological Safety for a maximum of three years and reviewed annually by OESO and lab personnel. Information for select agents is also included in the Select Agent Biosafety Plan.</w:t>
      </w:r>
    </w:p>
    <w:p w14:paraId="43BAB54B" w14:textId="2AD5DE66" w:rsidR="00DF61D3" w:rsidRPr="00196C9A" w:rsidRDefault="00DF61D3" w:rsidP="00DF61D3">
      <w:pPr>
        <w:tabs>
          <w:tab w:val="left" w:pos="360"/>
        </w:tabs>
        <w:spacing w:after="120" w:line="240" w:lineRule="auto"/>
        <w:contextualSpacing/>
        <w:jc w:val="both"/>
        <w:rPr>
          <w:rFonts w:ascii="Times New Roman" w:hAnsi="Times New Roman" w:cs="Times New Roman"/>
        </w:rPr>
      </w:pPr>
      <w:r w:rsidRPr="00196C9A">
        <w:rPr>
          <w:rFonts w:ascii="Times New Roman" w:hAnsi="Times New Roman" w:cs="Times New Roman"/>
        </w:rPr>
        <w:t xml:space="preserve">The only medical intervention currently available is </w:t>
      </w:r>
      <w:r w:rsidRPr="00196C9A">
        <w:rPr>
          <w:rFonts w:ascii="Times New Roman" w:hAnsi="Times New Roman" w:cs="Times New Roman"/>
          <w:highlight w:val="yellow"/>
        </w:rPr>
        <w:t>_______.</w:t>
      </w:r>
      <w:r w:rsidRPr="00196C9A">
        <w:rPr>
          <w:rFonts w:ascii="Times New Roman" w:hAnsi="Times New Roman" w:cs="Times New Roman"/>
        </w:rPr>
        <w:t xml:space="preserve"> Vaccination is no longer available to personnel working in laboratories. Treatment </w:t>
      </w:r>
      <w:proofErr w:type="gramStart"/>
      <w:r w:rsidRPr="00196C9A">
        <w:rPr>
          <w:rFonts w:ascii="Times New Roman" w:hAnsi="Times New Roman" w:cs="Times New Roman"/>
        </w:rPr>
        <w:t xml:space="preserve">for a </w:t>
      </w:r>
      <w:r w:rsidRPr="00196C9A">
        <w:rPr>
          <w:rFonts w:ascii="Times New Roman" w:hAnsi="Times New Roman" w:cs="Times New Roman"/>
          <w:highlight w:val="yellow"/>
        </w:rPr>
        <w:t>_____</w:t>
      </w:r>
      <w:proofErr w:type="gramEnd"/>
      <w:r w:rsidRPr="00196C9A">
        <w:rPr>
          <w:rFonts w:ascii="Times New Roman" w:hAnsi="Times New Roman" w:cs="Times New Roman"/>
        </w:rPr>
        <w:t xml:space="preserve"> exposure will consist of </w:t>
      </w:r>
      <w:r w:rsidRPr="00196C9A">
        <w:rPr>
          <w:rFonts w:ascii="Times New Roman" w:hAnsi="Times New Roman" w:cs="Times New Roman"/>
          <w:highlight w:val="yellow"/>
        </w:rPr>
        <w:t>_______.</w:t>
      </w:r>
    </w:p>
    <w:p w14:paraId="2A7B4C6A" w14:textId="77777777" w:rsidR="00926B97" w:rsidRPr="00196C9A" w:rsidRDefault="00926B97" w:rsidP="00DF61D3">
      <w:pPr>
        <w:tabs>
          <w:tab w:val="left" w:pos="360"/>
        </w:tabs>
        <w:spacing w:after="120" w:line="240" w:lineRule="auto"/>
        <w:contextualSpacing/>
        <w:jc w:val="both"/>
        <w:rPr>
          <w:rFonts w:ascii="Times New Roman" w:hAnsi="Times New Roman" w:cs="Times New Roman"/>
        </w:rPr>
      </w:pPr>
    </w:p>
    <w:p w14:paraId="20E0B957" w14:textId="77777777" w:rsidR="008F595A" w:rsidRPr="00196C9A" w:rsidRDefault="001073EB" w:rsidP="00886B56">
      <w:pPr>
        <w:pStyle w:val="Heading2"/>
        <w:tabs>
          <w:tab w:val="left" w:pos="360"/>
        </w:tabs>
        <w:spacing w:before="0" w:beforeAutospacing="0" w:after="120" w:afterAutospacing="0"/>
        <w:contextualSpacing/>
        <w:rPr>
          <w:sz w:val="24"/>
          <w:szCs w:val="24"/>
        </w:rPr>
      </w:pPr>
      <w:r w:rsidRPr="00196C9A">
        <w:rPr>
          <w:sz w:val="24"/>
          <w:szCs w:val="24"/>
        </w:rPr>
        <w:t>Notification of funding agency</w:t>
      </w:r>
    </w:p>
    <w:p w14:paraId="1215F7E9" w14:textId="77777777" w:rsidR="00926B97" w:rsidRPr="00196C9A" w:rsidRDefault="00926B97" w:rsidP="00886B56">
      <w:pPr>
        <w:pStyle w:val="Heading2"/>
        <w:tabs>
          <w:tab w:val="left" w:pos="360"/>
        </w:tabs>
        <w:spacing w:before="0" w:beforeAutospacing="0" w:after="120" w:afterAutospacing="0"/>
        <w:contextualSpacing/>
        <w:rPr>
          <w:sz w:val="24"/>
          <w:szCs w:val="24"/>
        </w:rPr>
      </w:pPr>
    </w:p>
    <w:p w14:paraId="003145C4" w14:textId="60CC0153" w:rsidR="005C230C" w:rsidRPr="00196C9A" w:rsidRDefault="005C230C" w:rsidP="005C230C">
      <w:pPr>
        <w:pStyle w:val="Heading2"/>
        <w:tabs>
          <w:tab w:val="left" w:pos="360"/>
        </w:tabs>
        <w:spacing w:after="120"/>
        <w:contextualSpacing/>
        <w:rPr>
          <w:b w:val="0"/>
          <w:sz w:val="22"/>
          <w:szCs w:val="22"/>
        </w:rPr>
      </w:pPr>
      <w:r w:rsidRPr="00196C9A">
        <w:rPr>
          <w:b w:val="0"/>
          <w:sz w:val="22"/>
          <w:szCs w:val="22"/>
        </w:rPr>
        <w:t xml:space="preserve">If additional </w:t>
      </w:r>
      <w:r w:rsidR="009B4B17">
        <w:rPr>
          <w:b w:val="0"/>
          <w:sz w:val="22"/>
          <w:szCs w:val="22"/>
        </w:rPr>
        <w:t>DURC/PEPP</w:t>
      </w:r>
      <w:r w:rsidRPr="00196C9A">
        <w:rPr>
          <w:b w:val="0"/>
          <w:sz w:val="22"/>
          <w:szCs w:val="22"/>
        </w:rPr>
        <w:t xml:space="preserve"> data is identified, </w:t>
      </w:r>
      <w:r w:rsidR="00926B97" w:rsidRPr="00196C9A">
        <w:rPr>
          <w:b w:val="0"/>
          <w:sz w:val="22"/>
          <w:szCs w:val="22"/>
        </w:rPr>
        <w:t xml:space="preserve">the ICDUR will notify </w:t>
      </w:r>
      <w:r w:rsidRPr="00196C9A">
        <w:rPr>
          <w:b w:val="0"/>
          <w:sz w:val="22"/>
          <w:szCs w:val="22"/>
          <w:highlight w:val="yellow"/>
        </w:rPr>
        <w:t>Dr. ___</w:t>
      </w:r>
      <w:r w:rsidR="00926B97" w:rsidRPr="00196C9A">
        <w:rPr>
          <w:b w:val="0"/>
          <w:sz w:val="22"/>
          <w:szCs w:val="22"/>
          <w:highlight w:val="yellow"/>
        </w:rPr>
        <w:t>’s</w:t>
      </w:r>
      <w:r w:rsidRPr="00196C9A">
        <w:rPr>
          <w:b w:val="0"/>
          <w:sz w:val="22"/>
          <w:szCs w:val="22"/>
        </w:rPr>
        <w:t xml:space="preserve"> Program Officer</w:t>
      </w:r>
      <w:r w:rsidR="009B4B17">
        <w:rPr>
          <w:b w:val="0"/>
          <w:sz w:val="22"/>
          <w:szCs w:val="22"/>
        </w:rPr>
        <w:t xml:space="preserve"> through appropriate and established institutional mechanisms</w:t>
      </w:r>
      <w:r w:rsidRPr="00196C9A">
        <w:rPr>
          <w:b w:val="0"/>
          <w:sz w:val="22"/>
          <w:szCs w:val="22"/>
        </w:rPr>
        <w:t xml:space="preserve">. Additional modifications to the risk mitigation plan will be made as necessary. All manuscripts potentially containing </w:t>
      </w:r>
      <w:r w:rsidR="009B4B17">
        <w:rPr>
          <w:b w:val="0"/>
          <w:sz w:val="22"/>
          <w:szCs w:val="22"/>
        </w:rPr>
        <w:t>DURC/PEPP</w:t>
      </w:r>
      <w:r w:rsidRPr="00196C9A">
        <w:rPr>
          <w:b w:val="0"/>
          <w:sz w:val="22"/>
          <w:szCs w:val="22"/>
        </w:rPr>
        <w:t xml:space="preserve"> will be sent to the ICDUR</w:t>
      </w:r>
      <w:r w:rsidR="009B4B17">
        <w:rPr>
          <w:b w:val="0"/>
          <w:sz w:val="22"/>
          <w:szCs w:val="22"/>
        </w:rPr>
        <w:t xml:space="preserve"> and IRE </w:t>
      </w:r>
      <w:r w:rsidRPr="00196C9A">
        <w:rPr>
          <w:b w:val="0"/>
          <w:sz w:val="22"/>
          <w:szCs w:val="22"/>
        </w:rPr>
        <w:t>for review</w:t>
      </w:r>
      <w:r w:rsidR="009B4B17">
        <w:rPr>
          <w:b w:val="0"/>
          <w:sz w:val="22"/>
          <w:szCs w:val="22"/>
        </w:rPr>
        <w:t>.</w:t>
      </w:r>
      <w:r w:rsidRPr="00196C9A">
        <w:rPr>
          <w:b w:val="0"/>
          <w:sz w:val="22"/>
          <w:szCs w:val="22"/>
        </w:rPr>
        <w:t xml:space="preserve"> The ICDUR will ensure the </w:t>
      </w:r>
      <w:r w:rsidR="00FE1219" w:rsidRPr="00196C9A">
        <w:rPr>
          <w:b w:val="0"/>
          <w:sz w:val="22"/>
          <w:szCs w:val="22"/>
        </w:rPr>
        <w:t>May 2024</w:t>
      </w:r>
      <w:r w:rsidRPr="00196C9A">
        <w:rPr>
          <w:b w:val="0"/>
          <w:sz w:val="22"/>
          <w:szCs w:val="22"/>
        </w:rPr>
        <w:t xml:space="preserve"> </w:t>
      </w:r>
      <w:r w:rsidR="009B4B17">
        <w:rPr>
          <w:b w:val="0"/>
          <w:sz w:val="22"/>
          <w:szCs w:val="22"/>
        </w:rPr>
        <w:t>DURC/PEPP</w:t>
      </w:r>
      <w:r w:rsidRPr="00196C9A">
        <w:rPr>
          <w:b w:val="0"/>
          <w:sz w:val="22"/>
          <w:szCs w:val="22"/>
        </w:rPr>
        <w:t xml:space="preserve"> Policy (3) is </w:t>
      </w:r>
      <w:r w:rsidR="00926B97" w:rsidRPr="00196C9A">
        <w:rPr>
          <w:b w:val="0"/>
          <w:sz w:val="22"/>
          <w:szCs w:val="22"/>
        </w:rPr>
        <w:t>followed,</w:t>
      </w:r>
      <w:r w:rsidRPr="00196C9A">
        <w:rPr>
          <w:b w:val="0"/>
          <w:sz w:val="22"/>
          <w:szCs w:val="22"/>
        </w:rPr>
        <w:t xml:space="preserve"> and the appropriate US Government agency is notified.</w:t>
      </w:r>
    </w:p>
    <w:p w14:paraId="4AC2AD1B" w14:textId="77777777" w:rsidR="008F595A" w:rsidRPr="00196C9A" w:rsidRDefault="008F595A" w:rsidP="00886B56">
      <w:pPr>
        <w:pStyle w:val="Default"/>
        <w:spacing w:after="120"/>
        <w:contextualSpacing/>
        <w:rPr>
          <w:rFonts w:ascii="Times New Roman" w:hAnsi="Times New Roman" w:cs="Times New Roman"/>
          <w:b/>
        </w:rPr>
      </w:pPr>
      <w:r w:rsidRPr="00196C9A">
        <w:rPr>
          <w:rFonts w:ascii="Times New Roman" w:hAnsi="Times New Roman" w:cs="Times New Roman"/>
          <w:b/>
        </w:rPr>
        <w:t xml:space="preserve">Determining the venue and mode of communication </w:t>
      </w:r>
    </w:p>
    <w:p w14:paraId="2977BCDA" w14:textId="34E2FDF4" w:rsidR="002C59E9" w:rsidRPr="00196C9A" w:rsidRDefault="001138EB" w:rsidP="00886B56">
      <w:pPr>
        <w:pStyle w:val="Heading2"/>
        <w:tabs>
          <w:tab w:val="left" w:pos="360"/>
        </w:tabs>
        <w:spacing w:before="0" w:beforeAutospacing="0" w:after="120" w:afterAutospacing="0"/>
        <w:contextualSpacing/>
        <w:rPr>
          <w:rFonts w:eastAsiaTheme="minorEastAsia"/>
          <w:b w:val="0"/>
          <w:sz w:val="22"/>
          <w:szCs w:val="22"/>
          <w:lang w:eastAsia="ja-JP"/>
        </w:rPr>
      </w:pPr>
      <w:r w:rsidRPr="00196C9A">
        <w:rPr>
          <w:rFonts w:eastAsiaTheme="minorEastAsia"/>
          <w:b w:val="0"/>
          <w:sz w:val="22"/>
          <w:szCs w:val="22"/>
          <w:lang w:eastAsia="ja-JP"/>
        </w:rPr>
        <w:t xml:space="preserve">To advance the scientific mission, it is important for research results to be shared via peer-reviewed publications. However, if the research is considered </w:t>
      </w:r>
      <w:r w:rsidR="009B4B17">
        <w:rPr>
          <w:rFonts w:eastAsiaTheme="minorEastAsia"/>
          <w:b w:val="0"/>
          <w:sz w:val="22"/>
          <w:szCs w:val="22"/>
          <w:lang w:eastAsia="ja-JP"/>
        </w:rPr>
        <w:t>DURC/PEPP</w:t>
      </w:r>
      <w:r w:rsidRPr="00196C9A">
        <w:rPr>
          <w:rFonts w:eastAsiaTheme="minorEastAsia"/>
          <w:b w:val="0"/>
          <w:sz w:val="22"/>
          <w:szCs w:val="22"/>
          <w:lang w:eastAsia="ja-JP"/>
        </w:rPr>
        <w:t xml:space="preserve">, additional discussions are necessary before sharing the information. When publication of </w:t>
      </w:r>
      <w:r w:rsidR="009B4B17">
        <w:rPr>
          <w:rFonts w:eastAsiaTheme="minorEastAsia"/>
          <w:b w:val="0"/>
          <w:sz w:val="22"/>
          <w:szCs w:val="22"/>
          <w:lang w:eastAsia="ja-JP"/>
        </w:rPr>
        <w:t>DURC/PEPP</w:t>
      </w:r>
      <w:r w:rsidRPr="00196C9A">
        <w:rPr>
          <w:rFonts w:eastAsiaTheme="minorEastAsia"/>
          <w:b w:val="0"/>
          <w:sz w:val="22"/>
          <w:szCs w:val="22"/>
          <w:lang w:eastAsia="ja-JP"/>
        </w:rPr>
        <w:t xml:space="preserve"> is planned, </w:t>
      </w:r>
      <w:r w:rsidR="00A318E2" w:rsidRPr="00196C9A">
        <w:rPr>
          <w:rFonts w:eastAsiaTheme="minorEastAsia"/>
          <w:b w:val="0"/>
          <w:sz w:val="22"/>
          <w:szCs w:val="22"/>
          <w:lang w:eastAsia="ja-JP"/>
        </w:rPr>
        <w:t xml:space="preserve">the ICDUR and </w:t>
      </w:r>
      <w:r w:rsidR="00883111" w:rsidRPr="00196C9A">
        <w:rPr>
          <w:rFonts w:eastAsiaTheme="minorEastAsia"/>
          <w:b w:val="0"/>
          <w:sz w:val="22"/>
          <w:szCs w:val="22"/>
          <w:lang w:eastAsia="ja-JP"/>
        </w:rPr>
        <w:t>IRE</w:t>
      </w:r>
      <w:r w:rsidR="00A318E2" w:rsidRPr="00196C9A">
        <w:rPr>
          <w:rFonts w:eastAsiaTheme="minorEastAsia"/>
          <w:b w:val="0"/>
          <w:sz w:val="22"/>
          <w:szCs w:val="22"/>
          <w:lang w:eastAsia="ja-JP"/>
        </w:rPr>
        <w:t xml:space="preserve"> will work with </w:t>
      </w:r>
      <w:r w:rsidR="00A318E2" w:rsidRPr="00196C9A">
        <w:rPr>
          <w:rFonts w:eastAsiaTheme="minorEastAsia"/>
          <w:b w:val="0"/>
          <w:sz w:val="22"/>
          <w:szCs w:val="22"/>
          <w:highlight w:val="yellow"/>
          <w:lang w:eastAsia="ja-JP"/>
        </w:rPr>
        <w:t xml:space="preserve">Dr. </w:t>
      </w:r>
      <w:r w:rsidR="00E21453" w:rsidRPr="00196C9A">
        <w:rPr>
          <w:b w:val="0"/>
          <w:sz w:val="22"/>
          <w:szCs w:val="22"/>
          <w:highlight w:val="yellow"/>
        </w:rPr>
        <w:t>_____</w:t>
      </w:r>
      <w:r w:rsidR="00A318E2" w:rsidRPr="00196C9A">
        <w:rPr>
          <w:rFonts w:eastAsiaTheme="minorEastAsia"/>
          <w:b w:val="0"/>
          <w:sz w:val="22"/>
          <w:szCs w:val="22"/>
          <w:lang w:eastAsia="ja-JP"/>
        </w:rPr>
        <w:t xml:space="preserve"> and the </w:t>
      </w:r>
      <w:r w:rsidRPr="00196C9A">
        <w:rPr>
          <w:rFonts w:eastAsiaTheme="minorEastAsia"/>
          <w:b w:val="0"/>
          <w:sz w:val="22"/>
          <w:szCs w:val="22"/>
          <w:lang w:eastAsia="ja-JP"/>
        </w:rPr>
        <w:t xml:space="preserve">Director of Research Communications </w:t>
      </w:r>
      <w:r w:rsidR="00A318E2" w:rsidRPr="00196C9A">
        <w:rPr>
          <w:rFonts w:eastAsiaTheme="minorEastAsia"/>
          <w:b w:val="0"/>
          <w:sz w:val="22"/>
          <w:szCs w:val="22"/>
          <w:lang w:eastAsia="ja-JP"/>
        </w:rPr>
        <w:t>to:</w:t>
      </w:r>
    </w:p>
    <w:p w14:paraId="7194BB14" w14:textId="35C6862A" w:rsidR="002C59E9" w:rsidRPr="00196C9A" w:rsidRDefault="00886B56" w:rsidP="00886B56">
      <w:pPr>
        <w:pStyle w:val="Heading2"/>
        <w:numPr>
          <w:ilvl w:val="0"/>
          <w:numId w:val="6"/>
        </w:numPr>
        <w:tabs>
          <w:tab w:val="left" w:pos="360"/>
        </w:tabs>
        <w:spacing w:before="0" w:beforeAutospacing="0" w:after="0" w:afterAutospacing="0"/>
        <w:contextualSpacing/>
        <w:rPr>
          <w:rFonts w:eastAsiaTheme="minorEastAsia"/>
          <w:b w:val="0"/>
          <w:sz w:val="22"/>
          <w:szCs w:val="22"/>
          <w:lang w:eastAsia="ja-JP"/>
        </w:rPr>
      </w:pPr>
      <w:r w:rsidRPr="00196C9A">
        <w:rPr>
          <w:rFonts w:eastAsiaTheme="minorEastAsia"/>
          <w:b w:val="0"/>
          <w:sz w:val="22"/>
          <w:szCs w:val="22"/>
          <w:lang w:eastAsia="ja-JP"/>
        </w:rPr>
        <w:t>E</w:t>
      </w:r>
      <w:r w:rsidR="001138EB" w:rsidRPr="00196C9A">
        <w:rPr>
          <w:rFonts w:eastAsiaTheme="minorEastAsia"/>
          <w:b w:val="0"/>
          <w:sz w:val="22"/>
          <w:szCs w:val="22"/>
          <w:lang w:eastAsia="ja-JP"/>
        </w:rPr>
        <w:t xml:space="preserve">valuate the </w:t>
      </w:r>
      <w:r w:rsidR="002C59E9" w:rsidRPr="00196C9A">
        <w:rPr>
          <w:rFonts w:eastAsiaTheme="minorEastAsia"/>
          <w:b w:val="0"/>
          <w:sz w:val="22"/>
          <w:szCs w:val="22"/>
          <w:lang w:eastAsia="ja-JP"/>
        </w:rPr>
        <w:t xml:space="preserve">benefits of publishing the </w:t>
      </w:r>
      <w:r w:rsidR="001138EB" w:rsidRPr="00196C9A">
        <w:rPr>
          <w:rFonts w:eastAsiaTheme="minorEastAsia"/>
          <w:b w:val="0"/>
          <w:sz w:val="22"/>
          <w:szCs w:val="22"/>
          <w:lang w:eastAsia="ja-JP"/>
        </w:rPr>
        <w:t xml:space="preserve">manuscript </w:t>
      </w:r>
      <w:r w:rsidR="002C59E9" w:rsidRPr="00196C9A">
        <w:rPr>
          <w:rFonts w:eastAsiaTheme="minorEastAsia"/>
          <w:b w:val="0"/>
          <w:sz w:val="22"/>
          <w:szCs w:val="22"/>
          <w:lang w:eastAsia="ja-JP"/>
        </w:rPr>
        <w:t>(</w:t>
      </w:r>
      <w:r w:rsidR="001138EB" w:rsidRPr="00196C9A">
        <w:rPr>
          <w:rFonts w:eastAsiaTheme="minorEastAsia"/>
          <w:b w:val="0"/>
          <w:sz w:val="22"/>
          <w:szCs w:val="22"/>
          <w:lang w:eastAsia="ja-JP"/>
        </w:rPr>
        <w:t>significance</w:t>
      </w:r>
      <w:r w:rsidR="002C59E9" w:rsidRPr="00196C9A">
        <w:rPr>
          <w:rFonts w:eastAsiaTheme="minorEastAsia"/>
          <w:b w:val="0"/>
          <w:sz w:val="22"/>
          <w:szCs w:val="22"/>
          <w:lang w:eastAsia="ja-JP"/>
        </w:rPr>
        <w:t xml:space="preserve"> in the field, etc.)</w:t>
      </w:r>
    </w:p>
    <w:p w14:paraId="71D9DDD5" w14:textId="1C15B714" w:rsidR="002C59E9" w:rsidRPr="00196C9A" w:rsidRDefault="00886B56" w:rsidP="00886B56">
      <w:pPr>
        <w:pStyle w:val="Heading2"/>
        <w:numPr>
          <w:ilvl w:val="0"/>
          <w:numId w:val="6"/>
        </w:numPr>
        <w:tabs>
          <w:tab w:val="left" w:pos="360"/>
        </w:tabs>
        <w:spacing w:before="0" w:beforeAutospacing="0" w:after="0" w:afterAutospacing="0"/>
        <w:contextualSpacing/>
        <w:rPr>
          <w:rFonts w:eastAsiaTheme="minorEastAsia"/>
          <w:b w:val="0"/>
          <w:sz w:val="22"/>
          <w:szCs w:val="22"/>
          <w:lang w:eastAsia="ja-JP"/>
        </w:rPr>
      </w:pPr>
      <w:r w:rsidRPr="00196C9A">
        <w:rPr>
          <w:rFonts w:eastAsiaTheme="minorEastAsia"/>
          <w:b w:val="0"/>
          <w:sz w:val="22"/>
          <w:szCs w:val="22"/>
          <w:lang w:eastAsia="ja-JP"/>
        </w:rPr>
        <w:t>C</w:t>
      </w:r>
      <w:r w:rsidR="002C59E9" w:rsidRPr="00196C9A">
        <w:rPr>
          <w:rFonts w:eastAsiaTheme="minorEastAsia"/>
          <w:b w:val="0"/>
          <w:sz w:val="22"/>
          <w:szCs w:val="22"/>
          <w:lang w:eastAsia="ja-JP"/>
        </w:rPr>
        <w:t xml:space="preserve">onsider the </w:t>
      </w:r>
      <w:r w:rsidR="001138EB" w:rsidRPr="00196C9A">
        <w:rPr>
          <w:rFonts w:eastAsiaTheme="minorEastAsia"/>
          <w:b w:val="0"/>
          <w:sz w:val="22"/>
          <w:szCs w:val="22"/>
          <w:lang w:eastAsia="ja-JP"/>
        </w:rPr>
        <w:t>risk that publishing the results could pose a serious th</w:t>
      </w:r>
      <w:r w:rsidR="002C59E9" w:rsidRPr="00196C9A">
        <w:rPr>
          <w:rFonts w:eastAsiaTheme="minorEastAsia"/>
          <w:b w:val="0"/>
          <w:sz w:val="22"/>
          <w:szCs w:val="22"/>
          <w:lang w:eastAsia="ja-JP"/>
        </w:rPr>
        <w:t>reat in a reasonable timeframe</w:t>
      </w:r>
    </w:p>
    <w:p w14:paraId="4E20200D" w14:textId="081D2820" w:rsidR="002C59E9" w:rsidRPr="00196C9A" w:rsidRDefault="00886B56" w:rsidP="00886B56">
      <w:pPr>
        <w:pStyle w:val="Heading2"/>
        <w:numPr>
          <w:ilvl w:val="0"/>
          <w:numId w:val="6"/>
        </w:numPr>
        <w:tabs>
          <w:tab w:val="left" w:pos="360"/>
        </w:tabs>
        <w:spacing w:before="0" w:beforeAutospacing="0" w:after="0" w:afterAutospacing="0"/>
        <w:contextualSpacing/>
        <w:rPr>
          <w:rFonts w:eastAsiaTheme="minorEastAsia"/>
          <w:b w:val="0"/>
          <w:sz w:val="22"/>
          <w:szCs w:val="22"/>
          <w:lang w:eastAsia="ja-JP"/>
        </w:rPr>
      </w:pPr>
      <w:r w:rsidRPr="00196C9A">
        <w:rPr>
          <w:rFonts w:eastAsiaTheme="minorEastAsia"/>
          <w:b w:val="0"/>
          <w:sz w:val="22"/>
          <w:szCs w:val="22"/>
          <w:lang w:eastAsia="ja-JP"/>
        </w:rPr>
        <w:t>D</w:t>
      </w:r>
      <w:r w:rsidR="001138EB" w:rsidRPr="00196C9A">
        <w:rPr>
          <w:rFonts w:eastAsiaTheme="minorEastAsia"/>
          <w:b w:val="0"/>
          <w:sz w:val="22"/>
          <w:szCs w:val="22"/>
          <w:lang w:eastAsia="ja-JP"/>
        </w:rPr>
        <w:t>etermine how best to explain the value of the work to the scientific community and general public</w:t>
      </w:r>
    </w:p>
    <w:p w14:paraId="417A6D50" w14:textId="098BF2D6" w:rsidR="002C59E9" w:rsidRPr="00196C9A" w:rsidRDefault="00886B56" w:rsidP="00886B56">
      <w:pPr>
        <w:pStyle w:val="Heading2"/>
        <w:numPr>
          <w:ilvl w:val="0"/>
          <w:numId w:val="6"/>
        </w:numPr>
        <w:tabs>
          <w:tab w:val="left" w:pos="360"/>
        </w:tabs>
        <w:spacing w:before="0" w:beforeAutospacing="0" w:after="0" w:afterAutospacing="0"/>
        <w:contextualSpacing/>
        <w:rPr>
          <w:rFonts w:eastAsiaTheme="minorEastAsia"/>
          <w:b w:val="0"/>
          <w:sz w:val="22"/>
          <w:szCs w:val="22"/>
          <w:lang w:eastAsia="ja-JP"/>
        </w:rPr>
      </w:pPr>
      <w:r w:rsidRPr="00196C9A">
        <w:rPr>
          <w:rFonts w:eastAsiaTheme="minorEastAsia"/>
          <w:b w:val="0"/>
          <w:sz w:val="22"/>
          <w:szCs w:val="22"/>
          <w:lang w:eastAsia="ja-JP"/>
        </w:rPr>
        <w:t>D</w:t>
      </w:r>
      <w:r w:rsidR="002C59E9" w:rsidRPr="00196C9A">
        <w:rPr>
          <w:rFonts w:eastAsiaTheme="minorEastAsia"/>
          <w:b w:val="0"/>
          <w:sz w:val="22"/>
          <w:szCs w:val="22"/>
          <w:lang w:eastAsia="ja-JP"/>
        </w:rPr>
        <w:t>evelop a</w:t>
      </w:r>
      <w:r w:rsidR="001138EB" w:rsidRPr="00196C9A">
        <w:rPr>
          <w:rFonts w:eastAsiaTheme="minorEastAsia"/>
          <w:b w:val="0"/>
          <w:sz w:val="22"/>
          <w:szCs w:val="22"/>
          <w:lang w:eastAsia="ja-JP"/>
        </w:rPr>
        <w:t xml:space="preserve"> description of the biosafety and biosecurity measures in place</w:t>
      </w:r>
      <w:r w:rsidR="00990587" w:rsidRPr="00196C9A">
        <w:rPr>
          <w:rFonts w:eastAsiaTheme="minorEastAsia"/>
          <w:b w:val="0"/>
          <w:sz w:val="22"/>
          <w:szCs w:val="22"/>
          <w:lang w:eastAsia="ja-JP"/>
        </w:rPr>
        <w:t xml:space="preserve"> to be included in the manuscript</w:t>
      </w:r>
      <w:r w:rsidR="001138EB" w:rsidRPr="00196C9A">
        <w:rPr>
          <w:rFonts w:eastAsiaTheme="minorEastAsia"/>
          <w:b w:val="0"/>
          <w:sz w:val="22"/>
          <w:szCs w:val="22"/>
          <w:lang w:eastAsia="ja-JP"/>
        </w:rPr>
        <w:t xml:space="preserve"> </w:t>
      </w:r>
      <w:r w:rsidR="00926B97" w:rsidRPr="00196C9A">
        <w:rPr>
          <w:rFonts w:eastAsiaTheme="minorEastAsia"/>
          <w:b w:val="0"/>
          <w:sz w:val="22"/>
          <w:szCs w:val="22"/>
          <w:lang w:eastAsia="ja-JP"/>
        </w:rPr>
        <w:t>(</w:t>
      </w:r>
      <w:r w:rsidR="005C46EF" w:rsidRPr="00196C9A">
        <w:rPr>
          <w:rFonts w:eastAsiaTheme="minorEastAsia"/>
          <w:b w:val="0"/>
          <w:sz w:val="22"/>
          <w:szCs w:val="22"/>
          <w:lang w:eastAsia="ja-JP"/>
        </w:rPr>
        <w:t>4</w:t>
      </w:r>
      <w:r w:rsidR="00926B97" w:rsidRPr="00196C9A">
        <w:rPr>
          <w:rFonts w:eastAsiaTheme="minorEastAsia"/>
          <w:b w:val="0"/>
          <w:sz w:val="22"/>
          <w:szCs w:val="22"/>
          <w:lang w:eastAsia="ja-JP"/>
        </w:rPr>
        <w:t>)</w:t>
      </w:r>
    </w:p>
    <w:p w14:paraId="10C060B2" w14:textId="47A3B741" w:rsidR="00225865" w:rsidRPr="00196C9A" w:rsidRDefault="00886B56" w:rsidP="00886B56">
      <w:pPr>
        <w:pStyle w:val="Heading2"/>
        <w:numPr>
          <w:ilvl w:val="0"/>
          <w:numId w:val="6"/>
        </w:numPr>
        <w:tabs>
          <w:tab w:val="left" w:pos="360"/>
        </w:tabs>
        <w:spacing w:before="0" w:beforeAutospacing="0" w:after="0" w:afterAutospacing="0"/>
        <w:contextualSpacing/>
        <w:rPr>
          <w:rFonts w:eastAsiaTheme="minorEastAsia"/>
          <w:b w:val="0"/>
          <w:sz w:val="22"/>
          <w:szCs w:val="22"/>
          <w:lang w:eastAsia="ja-JP"/>
        </w:rPr>
      </w:pPr>
      <w:r w:rsidRPr="00196C9A">
        <w:rPr>
          <w:rFonts w:eastAsiaTheme="minorEastAsia"/>
          <w:b w:val="0"/>
          <w:sz w:val="22"/>
          <w:szCs w:val="22"/>
          <w:lang w:eastAsia="ja-JP"/>
        </w:rPr>
        <w:t>S</w:t>
      </w:r>
      <w:r w:rsidR="001138EB" w:rsidRPr="00196C9A">
        <w:rPr>
          <w:rFonts w:eastAsiaTheme="minorEastAsia"/>
          <w:b w:val="0"/>
          <w:sz w:val="22"/>
          <w:szCs w:val="22"/>
          <w:lang w:eastAsia="ja-JP"/>
        </w:rPr>
        <w:t>eek advice from NIH and others regarding the risk of publishing</w:t>
      </w:r>
      <w:r w:rsidR="00EB1279" w:rsidRPr="00196C9A">
        <w:rPr>
          <w:rFonts w:eastAsiaTheme="minorEastAsia"/>
          <w:b w:val="0"/>
          <w:sz w:val="22"/>
          <w:szCs w:val="22"/>
          <w:lang w:eastAsia="ja-JP"/>
        </w:rPr>
        <w:t xml:space="preserve"> the research</w:t>
      </w:r>
    </w:p>
    <w:p w14:paraId="3F4A3CD8" w14:textId="6EBA111A" w:rsidR="002C59E9" w:rsidRDefault="00886B56" w:rsidP="00886B56">
      <w:pPr>
        <w:pStyle w:val="Heading2"/>
        <w:numPr>
          <w:ilvl w:val="0"/>
          <w:numId w:val="6"/>
        </w:numPr>
        <w:tabs>
          <w:tab w:val="left" w:pos="360"/>
        </w:tabs>
        <w:spacing w:before="0" w:beforeAutospacing="0" w:after="120" w:afterAutospacing="0"/>
        <w:contextualSpacing/>
        <w:rPr>
          <w:rFonts w:eastAsiaTheme="minorEastAsia"/>
          <w:b w:val="0"/>
          <w:sz w:val="22"/>
          <w:szCs w:val="22"/>
          <w:lang w:eastAsia="ja-JP"/>
        </w:rPr>
      </w:pPr>
      <w:r w:rsidRPr="00196C9A">
        <w:rPr>
          <w:rFonts w:eastAsiaTheme="minorEastAsia"/>
          <w:b w:val="0"/>
          <w:sz w:val="22"/>
          <w:szCs w:val="22"/>
          <w:lang w:eastAsia="ja-JP"/>
        </w:rPr>
        <w:t>D</w:t>
      </w:r>
      <w:r w:rsidR="002C59E9" w:rsidRPr="00196C9A">
        <w:rPr>
          <w:rFonts w:eastAsiaTheme="minorEastAsia"/>
          <w:b w:val="0"/>
          <w:sz w:val="22"/>
          <w:szCs w:val="22"/>
          <w:lang w:eastAsia="ja-JP"/>
        </w:rPr>
        <w:t>evelop press conference and talking point tools to put the work in context and to minimize sensationalism</w:t>
      </w:r>
    </w:p>
    <w:p w14:paraId="1C65591D" w14:textId="77777777" w:rsidR="009B4B17" w:rsidRPr="00196C9A" w:rsidRDefault="009B4B17" w:rsidP="009B4B17">
      <w:pPr>
        <w:pStyle w:val="Heading2"/>
        <w:tabs>
          <w:tab w:val="left" w:pos="360"/>
        </w:tabs>
        <w:spacing w:before="0" w:beforeAutospacing="0" w:after="120" w:afterAutospacing="0"/>
        <w:contextualSpacing/>
        <w:rPr>
          <w:rFonts w:eastAsiaTheme="minorEastAsia"/>
          <w:b w:val="0"/>
          <w:sz w:val="22"/>
          <w:szCs w:val="22"/>
          <w:lang w:eastAsia="ja-JP"/>
        </w:rPr>
      </w:pPr>
    </w:p>
    <w:p w14:paraId="40158FD0" w14:textId="24B45FA7" w:rsidR="00926B97" w:rsidRPr="00196C9A" w:rsidRDefault="0065593D" w:rsidP="005C46EF">
      <w:pPr>
        <w:pStyle w:val="Heading2"/>
        <w:tabs>
          <w:tab w:val="left" w:pos="0"/>
        </w:tabs>
        <w:spacing w:before="0" w:beforeAutospacing="0" w:after="120" w:afterAutospacing="0"/>
        <w:contextualSpacing/>
        <w:jc w:val="both"/>
        <w:rPr>
          <w:rFonts w:eastAsiaTheme="minorEastAsia"/>
          <w:b w:val="0"/>
          <w:sz w:val="22"/>
          <w:szCs w:val="22"/>
          <w:lang w:eastAsia="ja-JP"/>
        </w:rPr>
      </w:pPr>
      <w:r w:rsidRPr="00196C9A">
        <w:rPr>
          <w:rFonts w:eastAsiaTheme="minorEastAsia"/>
          <w:b w:val="0"/>
          <w:sz w:val="22"/>
          <w:szCs w:val="22"/>
          <w:highlight w:val="yellow"/>
          <w:lang w:eastAsia="ja-JP"/>
        </w:rPr>
        <w:t xml:space="preserve">Dr. </w:t>
      </w:r>
      <w:r w:rsidR="005C230C" w:rsidRPr="00196C9A">
        <w:rPr>
          <w:b w:val="0"/>
          <w:sz w:val="22"/>
          <w:szCs w:val="22"/>
          <w:highlight w:val="yellow"/>
        </w:rPr>
        <w:t>____</w:t>
      </w:r>
      <w:r w:rsidR="002C3839" w:rsidRPr="00196C9A">
        <w:rPr>
          <w:rFonts w:eastAsiaTheme="minorEastAsia"/>
          <w:b w:val="0"/>
          <w:sz w:val="22"/>
          <w:szCs w:val="22"/>
          <w:lang w:eastAsia="ja-JP"/>
        </w:rPr>
        <w:t xml:space="preserve"> </w:t>
      </w:r>
      <w:r w:rsidR="0084313F" w:rsidRPr="00196C9A">
        <w:rPr>
          <w:rFonts w:eastAsiaTheme="minorEastAsia"/>
          <w:b w:val="0"/>
          <w:sz w:val="22"/>
          <w:szCs w:val="22"/>
          <w:lang w:eastAsia="ja-JP"/>
        </w:rPr>
        <w:t xml:space="preserve">and collaborators </w:t>
      </w:r>
      <w:r w:rsidR="00926B97" w:rsidRPr="00196C9A">
        <w:rPr>
          <w:rFonts w:eastAsiaTheme="minorEastAsia"/>
          <w:b w:val="0"/>
          <w:sz w:val="22"/>
          <w:szCs w:val="22"/>
          <w:lang w:eastAsia="ja-JP"/>
        </w:rPr>
        <w:t xml:space="preserve">on the project will adhere to responsible communications guidelines in written (emails, letters, publications, </w:t>
      </w:r>
      <w:proofErr w:type="spellStart"/>
      <w:r w:rsidR="00926B97" w:rsidRPr="00196C9A">
        <w:rPr>
          <w:rFonts w:eastAsiaTheme="minorEastAsia"/>
          <w:b w:val="0"/>
          <w:sz w:val="22"/>
          <w:szCs w:val="22"/>
          <w:lang w:eastAsia="ja-JP"/>
        </w:rPr>
        <w:t>etc</w:t>
      </w:r>
      <w:proofErr w:type="spellEnd"/>
      <w:r w:rsidR="00926B97" w:rsidRPr="00196C9A">
        <w:rPr>
          <w:rFonts w:eastAsiaTheme="minorEastAsia"/>
          <w:b w:val="0"/>
          <w:sz w:val="22"/>
          <w:szCs w:val="22"/>
          <w:lang w:eastAsia="ja-JP"/>
        </w:rPr>
        <w:t>) and spoken (scientific presentations, informal talks, lectures, interviews, and informal discussions) communications.</w:t>
      </w:r>
    </w:p>
    <w:p w14:paraId="708ECB1F" w14:textId="77777777" w:rsidR="00926B97" w:rsidRPr="00196C9A" w:rsidRDefault="00926B97" w:rsidP="00186BC8">
      <w:pPr>
        <w:pStyle w:val="Heading2"/>
        <w:tabs>
          <w:tab w:val="left" w:pos="0"/>
        </w:tabs>
        <w:spacing w:before="0" w:beforeAutospacing="0" w:after="120" w:afterAutospacing="0"/>
        <w:contextualSpacing/>
        <w:rPr>
          <w:rFonts w:eastAsiaTheme="minorEastAsia"/>
          <w:b w:val="0"/>
          <w:sz w:val="22"/>
          <w:szCs w:val="22"/>
          <w:lang w:eastAsia="ja-JP"/>
        </w:rPr>
      </w:pPr>
    </w:p>
    <w:p w14:paraId="114AD362" w14:textId="2F494D6F" w:rsidR="008F595A" w:rsidRPr="00196C9A" w:rsidRDefault="008F595A" w:rsidP="00886B56">
      <w:pPr>
        <w:pStyle w:val="Heading2"/>
        <w:tabs>
          <w:tab w:val="left" w:pos="360"/>
        </w:tabs>
        <w:spacing w:before="0" w:beforeAutospacing="0" w:after="120" w:afterAutospacing="0"/>
        <w:contextualSpacing/>
        <w:rPr>
          <w:sz w:val="24"/>
          <w:szCs w:val="24"/>
        </w:rPr>
      </w:pPr>
      <w:r w:rsidRPr="00196C9A">
        <w:rPr>
          <w:sz w:val="24"/>
          <w:szCs w:val="24"/>
        </w:rPr>
        <w:t>Dual Use Research of Concern (</w:t>
      </w:r>
      <w:r w:rsidR="009B4B17">
        <w:rPr>
          <w:sz w:val="24"/>
          <w:szCs w:val="24"/>
        </w:rPr>
        <w:t>DURC/PEPP</w:t>
      </w:r>
      <w:r w:rsidRPr="00196C9A">
        <w:rPr>
          <w:sz w:val="24"/>
          <w:szCs w:val="24"/>
        </w:rPr>
        <w:t>) Risk Mitigation</w:t>
      </w:r>
    </w:p>
    <w:p w14:paraId="3FBCA381" w14:textId="77777777" w:rsidR="00926B97" w:rsidRPr="00196C9A" w:rsidRDefault="00926B97" w:rsidP="00886B56">
      <w:pPr>
        <w:pStyle w:val="Heading2"/>
        <w:tabs>
          <w:tab w:val="left" w:pos="360"/>
        </w:tabs>
        <w:spacing w:before="0" w:beforeAutospacing="0" w:after="120" w:afterAutospacing="0"/>
        <w:contextualSpacing/>
        <w:rPr>
          <w:sz w:val="24"/>
          <w:szCs w:val="24"/>
        </w:rPr>
      </w:pPr>
    </w:p>
    <w:p w14:paraId="76F05348" w14:textId="06CE527B" w:rsidR="00926B97" w:rsidRPr="00196C9A" w:rsidRDefault="009B4B17" w:rsidP="00886B56">
      <w:pPr>
        <w:pStyle w:val="Heading2"/>
        <w:tabs>
          <w:tab w:val="left" w:pos="360"/>
        </w:tabs>
        <w:spacing w:before="0" w:beforeAutospacing="0" w:after="120" w:afterAutospacing="0"/>
        <w:contextualSpacing/>
        <w:rPr>
          <w:sz w:val="22"/>
          <w:szCs w:val="22"/>
        </w:rPr>
      </w:pPr>
      <w:r>
        <w:rPr>
          <w:sz w:val="22"/>
          <w:szCs w:val="22"/>
          <w:u w:val="single"/>
        </w:rPr>
        <w:t>DURC/PEPP</w:t>
      </w:r>
      <w:r w:rsidR="008F595A" w:rsidRPr="00196C9A">
        <w:rPr>
          <w:sz w:val="22"/>
          <w:szCs w:val="22"/>
          <w:u w:val="single"/>
        </w:rPr>
        <w:t xml:space="preserve"> training</w:t>
      </w:r>
    </w:p>
    <w:p w14:paraId="7E9C23D9" w14:textId="6B4D45B4" w:rsidR="00A318E2" w:rsidRPr="00196C9A" w:rsidRDefault="008F595A" w:rsidP="00886B56">
      <w:pPr>
        <w:pStyle w:val="Heading2"/>
        <w:tabs>
          <w:tab w:val="left" w:pos="360"/>
        </w:tabs>
        <w:spacing w:before="0" w:beforeAutospacing="0" w:after="120" w:afterAutospacing="0"/>
        <w:contextualSpacing/>
        <w:rPr>
          <w:b w:val="0"/>
          <w:sz w:val="22"/>
          <w:szCs w:val="22"/>
        </w:rPr>
      </w:pPr>
      <w:r w:rsidRPr="00196C9A">
        <w:rPr>
          <w:b w:val="0"/>
          <w:sz w:val="22"/>
          <w:szCs w:val="22"/>
        </w:rPr>
        <w:t xml:space="preserve">The </w:t>
      </w:r>
      <w:r w:rsidR="009B4B17">
        <w:rPr>
          <w:b w:val="0"/>
          <w:sz w:val="22"/>
          <w:szCs w:val="22"/>
        </w:rPr>
        <w:t xml:space="preserve">PI is responsible for ensuring that all staff are appropriately trained in all </w:t>
      </w:r>
      <w:r w:rsidR="00A318E2" w:rsidRPr="00196C9A">
        <w:rPr>
          <w:b w:val="0"/>
          <w:sz w:val="22"/>
          <w:szCs w:val="22"/>
        </w:rPr>
        <w:t>biological safety protocol</w:t>
      </w:r>
      <w:r w:rsidR="009B4B17">
        <w:rPr>
          <w:b w:val="0"/>
          <w:sz w:val="22"/>
          <w:szCs w:val="22"/>
        </w:rPr>
        <w:t>s</w:t>
      </w:r>
      <w:r w:rsidR="00A318E2" w:rsidRPr="00196C9A">
        <w:rPr>
          <w:b w:val="0"/>
          <w:sz w:val="22"/>
          <w:szCs w:val="22"/>
        </w:rPr>
        <w:t>. Currently</w:t>
      </w:r>
      <w:r w:rsidR="00A24FB2" w:rsidRPr="00196C9A">
        <w:rPr>
          <w:b w:val="0"/>
          <w:sz w:val="22"/>
          <w:szCs w:val="22"/>
        </w:rPr>
        <w:t>,</w:t>
      </w:r>
      <w:r w:rsidR="00A318E2" w:rsidRPr="00196C9A">
        <w:rPr>
          <w:b w:val="0"/>
          <w:sz w:val="22"/>
          <w:szCs w:val="22"/>
        </w:rPr>
        <w:t xml:space="preserve"> the training is comprised of </w:t>
      </w:r>
      <w:r w:rsidR="00700FAD" w:rsidRPr="00196C9A">
        <w:rPr>
          <w:b w:val="0"/>
          <w:sz w:val="22"/>
          <w:szCs w:val="22"/>
        </w:rPr>
        <w:t>an</w:t>
      </w:r>
      <w:r w:rsidR="00A318E2" w:rsidRPr="00196C9A">
        <w:rPr>
          <w:b w:val="0"/>
          <w:sz w:val="22"/>
          <w:szCs w:val="22"/>
        </w:rPr>
        <w:t xml:space="preserve"> online training session that describes the </w:t>
      </w:r>
      <w:r w:rsidR="00FE1219" w:rsidRPr="00196C9A">
        <w:rPr>
          <w:b w:val="0"/>
          <w:sz w:val="22"/>
          <w:szCs w:val="22"/>
        </w:rPr>
        <w:t>May 2024</w:t>
      </w:r>
      <w:r w:rsidR="00A24FB2" w:rsidRPr="00196C9A">
        <w:rPr>
          <w:b w:val="0"/>
          <w:sz w:val="22"/>
          <w:szCs w:val="22"/>
        </w:rPr>
        <w:t xml:space="preserve"> </w:t>
      </w:r>
      <w:r w:rsidR="009B4B17">
        <w:rPr>
          <w:b w:val="0"/>
          <w:sz w:val="22"/>
          <w:szCs w:val="22"/>
        </w:rPr>
        <w:t>DURC/PEPP</w:t>
      </w:r>
      <w:r w:rsidR="00A24FB2" w:rsidRPr="00196C9A">
        <w:rPr>
          <w:b w:val="0"/>
          <w:sz w:val="22"/>
          <w:szCs w:val="22"/>
        </w:rPr>
        <w:t xml:space="preserve"> policy</w:t>
      </w:r>
      <w:r w:rsidR="00A318E2" w:rsidRPr="00196C9A">
        <w:rPr>
          <w:b w:val="0"/>
          <w:sz w:val="22"/>
          <w:szCs w:val="22"/>
        </w:rPr>
        <w:t xml:space="preserve">. </w:t>
      </w:r>
      <w:r w:rsidR="00926B97" w:rsidRPr="00196C9A">
        <w:rPr>
          <w:b w:val="0"/>
          <w:sz w:val="22"/>
          <w:szCs w:val="22"/>
        </w:rPr>
        <w:t xml:space="preserve">The successful </w:t>
      </w:r>
      <w:r w:rsidR="00926B97" w:rsidRPr="00196C9A">
        <w:rPr>
          <w:b w:val="0"/>
          <w:sz w:val="22"/>
          <w:szCs w:val="22"/>
        </w:rPr>
        <w:lastRenderedPageBreak/>
        <w:t xml:space="preserve">completion of the training and associated quiz </w:t>
      </w:r>
      <w:r w:rsidR="00A318E2" w:rsidRPr="00196C9A">
        <w:rPr>
          <w:b w:val="0"/>
          <w:sz w:val="22"/>
          <w:szCs w:val="22"/>
        </w:rPr>
        <w:t xml:space="preserve">is required for </w:t>
      </w:r>
      <w:r w:rsidR="00A318E2" w:rsidRPr="00196C9A">
        <w:rPr>
          <w:b w:val="0"/>
          <w:sz w:val="22"/>
          <w:szCs w:val="22"/>
          <w:highlight w:val="yellow"/>
        </w:rPr>
        <w:t xml:space="preserve">Dr. </w:t>
      </w:r>
      <w:r w:rsidR="005C230C" w:rsidRPr="00196C9A">
        <w:rPr>
          <w:b w:val="0"/>
          <w:sz w:val="22"/>
          <w:szCs w:val="22"/>
          <w:highlight w:val="yellow"/>
        </w:rPr>
        <w:t>____</w:t>
      </w:r>
      <w:r w:rsidR="005C230C" w:rsidRPr="00196C9A">
        <w:rPr>
          <w:b w:val="0"/>
          <w:sz w:val="22"/>
          <w:szCs w:val="22"/>
        </w:rPr>
        <w:t xml:space="preserve"> </w:t>
      </w:r>
      <w:r w:rsidR="00A318E2" w:rsidRPr="00196C9A">
        <w:rPr>
          <w:b w:val="0"/>
          <w:sz w:val="22"/>
          <w:szCs w:val="22"/>
        </w:rPr>
        <w:t xml:space="preserve">and </w:t>
      </w:r>
      <w:r w:rsidR="00926B97" w:rsidRPr="00196C9A">
        <w:rPr>
          <w:b w:val="0"/>
          <w:sz w:val="22"/>
          <w:szCs w:val="22"/>
        </w:rPr>
        <w:t>their</w:t>
      </w:r>
      <w:r w:rsidR="00A318E2" w:rsidRPr="00196C9A">
        <w:rPr>
          <w:b w:val="0"/>
          <w:sz w:val="22"/>
          <w:szCs w:val="22"/>
        </w:rPr>
        <w:t xml:space="preserve"> researchers</w:t>
      </w:r>
      <w:r w:rsidR="005C230C" w:rsidRPr="00196C9A">
        <w:rPr>
          <w:b w:val="0"/>
          <w:sz w:val="22"/>
          <w:szCs w:val="22"/>
        </w:rPr>
        <w:t xml:space="preserve">. </w:t>
      </w:r>
      <w:r w:rsidR="00A318E2" w:rsidRPr="00196C9A">
        <w:rPr>
          <w:b w:val="0"/>
          <w:sz w:val="22"/>
          <w:szCs w:val="22"/>
        </w:rPr>
        <w:t>The training will be renewed every three years or as needed if there are changes to the program or additional risk mitigation measure</w:t>
      </w:r>
      <w:r w:rsidR="00556629" w:rsidRPr="00196C9A">
        <w:rPr>
          <w:b w:val="0"/>
          <w:sz w:val="22"/>
          <w:szCs w:val="22"/>
        </w:rPr>
        <w:t>s</w:t>
      </w:r>
      <w:r w:rsidR="00A318E2" w:rsidRPr="00196C9A">
        <w:rPr>
          <w:b w:val="0"/>
          <w:sz w:val="22"/>
          <w:szCs w:val="22"/>
        </w:rPr>
        <w:t xml:space="preserve"> are warranted. </w:t>
      </w:r>
    </w:p>
    <w:p w14:paraId="4C7B6396" w14:textId="77777777" w:rsidR="00926B97" w:rsidRPr="00196C9A" w:rsidRDefault="00926B97" w:rsidP="00886B56">
      <w:pPr>
        <w:pStyle w:val="Heading2"/>
        <w:tabs>
          <w:tab w:val="left" w:pos="360"/>
        </w:tabs>
        <w:spacing w:before="0" w:beforeAutospacing="0" w:after="120" w:afterAutospacing="0"/>
        <w:contextualSpacing/>
        <w:rPr>
          <w:b w:val="0"/>
          <w:sz w:val="22"/>
          <w:szCs w:val="22"/>
        </w:rPr>
      </w:pPr>
    </w:p>
    <w:p w14:paraId="36B073CF" w14:textId="2D948278" w:rsidR="00926B97" w:rsidRPr="00196C9A" w:rsidRDefault="009B4B17" w:rsidP="00886B56">
      <w:pPr>
        <w:pStyle w:val="Heading2"/>
        <w:tabs>
          <w:tab w:val="left" w:pos="360"/>
        </w:tabs>
        <w:spacing w:before="0" w:beforeAutospacing="0" w:after="120" w:afterAutospacing="0"/>
        <w:contextualSpacing/>
        <w:rPr>
          <w:sz w:val="22"/>
          <w:szCs w:val="22"/>
        </w:rPr>
      </w:pPr>
      <w:r>
        <w:rPr>
          <w:sz w:val="22"/>
          <w:szCs w:val="22"/>
          <w:u w:val="single"/>
        </w:rPr>
        <w:t>DURC/PEPP</w:t>
      </w:r>
      <w:r w:rsidR="008F595A" w:rsidRPr="00196C9A">
        <w:rPr>
          <w:sz w:val="22"/>
          <w:szCs w:val="22"/>
          <w:u w:val="single"/>
        </w:rPr>
        <w:t xml:space="preserve"> Institutional Review</w:t>
      </w:r>
    </w:p>
    <w:p w14:paraId="78ECB799" w14:textId="550B12AB" w:rsidR="009B3113" w:rsidRPr="00196C9A" w:rsidRDefault="009B3113" w:rsidP="009B3113">
      <w:pPr>
        <w:pStyle w:val="Heading2"/>
        <w:tabs>
          <w:tab w:val="left" w:pos="360"/>
        </w:tabs>
        <w:spacing w:before="0" w:beforeAutospacing="0" w:after="120" w:afterAutospacing="0"/>
        <w:contextualSpacing/>
        <w:jc w:val="both"/>
        <w:rPr>
          <w:sz w:val="22"/>
          <w:szCs w:val="22"/>
        </w:rPr>
      </w:pPr>
      <w:r w:rsidRPr="00196C9A">
        <w:rPr>
          <w:b w:val="0"/>
          <w:sz w:val="22"/>
          <w:szCs w:val="22"/>
          <w:highlight w:val="yellow"/>
        </w:rPr>
        <w:t>Dr. ____</w:t>
      </w:r>
      <w:r w:rsidRPr="00196C9A">
        <w:rPr>
          <w:b w:val="0"/>
          <w:sz w:val="22"/>
          <w:szCs w:val="22"/>
        </w:rPr>
        <w:t xml:space="preserve"> conducts an assessment of a research project and sends that information to the ICDUR. The ICDUR, who is also the chair of the </w:t>
      </w:r>
      <w:r w:rsidR="00883111" w:rsidRPr="00196C9A">
        <w:rPr>
          <w:b w:val="0"/>
          <w:sz w:val="22"/>
          <w:szCs w:val="22"/>
        </w:rPr>
        <w:t>IRE</w:t>
      </w:r>
      <w:r w:rsidRPr="00196C9A">
        <w:rPr>
          <w:b w:val="0"/>
          <w:sz w:val="22"/>
          <w:szCs w:val="22"/>
        </w:rPr>
        <w:t xml:space="preserve">, receives the assessment and gathers any additional materials pertaining to the project from </w:t>
      </w:r>
      <w:r w:rsidRPr="00196C9A">
        <w:rPr>
          <w:b w:val="0"/>
          <w:sz w:val="22"/>
          <w:szCs w:val="22"/>
          <w:highlight w:val="yellow"/>
        </w:rPr>
        <w:t>Dr. ______.</w:t>
      </w:r>
      <w:r w:rsidRPr="00196C9A">
        <w:rPr>
          <w:b w:val="0"/>
          <w:sz w:val="22"/>
          <w:szCs w:val="22"/>
        </w:rPr>
        <w:t xml:space="preserve"> Members of the </w:t>
      </w:r>
      <w:r w:rsidR="00883111" w:rsidRPr="00196C9A">
        <w:rPr>
          <w:b w:val="0"/>
          <w:sz w:val="22"/>
          <w:szCs w:val="22"/>
        </w:rPr>
        <w:t xml:space="preserve">IRE </w:t>
      </w:r>
      <w:r w:rsidRPr="00196C9A">
        <w:rPr>
          <w:b w:val="0"/>
          <w:sz w:val="22"/>
          <w:szCs w:val="22"/>
        </w:rPr>
        <w:t xml:space="preserve">independently review the materials and then discuss whether the research is DUR, </w:t>
      </w:r>
      <w:r w:rsidR="009B4B17">
        <w:rPr>
          <w:b w:val="0"/>
          <w:sz w:val="22"/>
          <w:szCs w:val="22"/>
        </w:rPr>
        <w:t>DURC/PEPP</w:t>
      </w:r>
      <w:r w:rsidRPr="00196C9A">
        <w:rPr>
          <w:b w:val="0"/>
          <w:sz w:val="22"/>
          <w:szCs w:val="22"/>
        </w:rPr>
        <w:t xml:space="preserve">, or neither using the criteria set in U.S. Government Policy for Institutional Oversight of Life Science Dual Use Research of Concern. If the research is deemed to be </w:t>
      </w:r>
      <w:r w:rsidR="009B4B17">
        <w:rPr>
          <w:b w:val="0"/>
          <w:sz w:val="22"/>
          <w:szCs w:val="22"/>
        </w:rPr>
        <w:t>DURC/PEPP</w:t>
      </w:r>
      <w:r w:rsidRPr="00196C9A">
        <w:rPr>
          <w:b w:val="0"/>
          <w:sz w:val="22"/>
          <w:szCs w:val="22"/>
        </w:rPr>
        <w:t xml:space="preserve">, </w:t>
      </w:r>
      <w:r w:rsidR="009B4B17">
        <w:rPr>
          <w:b w:val="0"/>
          <w:sz w:val="22"/>
          <w:szCs w:val="22"/>
        </w:rPr>
        <w:t>appropriate notifications will be made</w:t>
      </w:r>
      <w:r w:rsidRPr="00196C9A">
        <w:rPr>
          <w:b w:val="0"/>
          <w:sz w:val="22"/>
          <w:szCs w:val="22"/>
        </w:rPr>
        <w:t xml:space="preserve">. In addition, the ICDUR will work with </w:t>
      </w:r>
      <w:r w:rsidRPr="00196C9A">
        <w:rPr>
          <w:b w:val="0"/>
          <w:sz w:val="22"/>
          <w:szCs w:val="22"/>
          <w:highlight w:val="yellow"/>
        </w:rPr>
        <w:t>Dr. _____</w:t>
      </w:r>
      <w:r w:rsidRPr="00196C9A">
        <w:rPr>
          <w:b w:val="0"/>
          <w:sz w:val="22"/>
          <w:szCs w:val="22"/>
        </w:rPr>
        <w:t xml:space="preserve"> and the </w:t>
      </w:r>
      <w:r w:rsidR="00883111" w:rsidRPr="00196C9A">
        <w:rPr>
          <w:b w:val="0"/>
          <w:sz w:val="22"/>
          <w:szCs w:val="22"/>
        </w:rPr>
        <w:t>IRE</w:t>
      </w:r>
      <w:r w:rsidRPr="00196C9A">
        <w:rPr>
          <w:b w:val="0"/>
          <w:sz w:val="22"/>
          <w:szCs w:val="22"/>
        </w:rPr>
        <w:t xml:space="preserve"> to determine which risk mitigation measures are appropriate. </w:t>
      </w:r>
      <w:r w:rsidRPr="00196C9A">
        <w:rPr>
          <w:b w:val="0"/>
          <w:sz w:val="22"/>
          <w:szCs w:val="22"/>
          <w:highlight w:val="yellow"/>
        </w:rPr>
        <w:t>Dr. ______</w:t>
      </w:r>
      <w:r w:rsidRPr="00196C9A">
        <w:rPr>
          <w:b w:val="0"/>
          <w:sz w:val="22"/>
          <w:szCs w:val="22"/>
        </w:rPr>
        <w:t xml:space="preserve"> will provide the ICDUR with regular research updates and all manuscripts and presentations for review. </w:t>
      </w:r>
    </w:p>
    <w:p w14:paraId="6426937B" w14:textId="77777777" w:rsidR="009F253B" w:rsidRPr="00196C9A" w:rsidRDefault="009F253B" w:rsidP="00886B56">
      <w:pPr>
        <w:pStyle w:val="Heading2"/>
        <w:tabs>
          <w:tab w:val="left" w:pos="360"/>
        </w:tabs>
        <w:spacing w:before="0" w:beforeAutospacing="0" w:after="120" w:afterAutospacing="0"/>
        <w:contextualSpacing/>
        <w:rPr>
          <w:rFonts w:eastAsiaTheme="minorEastAsia"/>
          <w:b w:val="0"/>
          <w:sz w:val="22"/>
          <w:szCs w:val="22"/>
          <w:lang w:eastAsia="ja-JP"/>
        </w:rPr>
      </w:pPr>
    </w:p>
    <w:p w14:paraId="36F4CFBE" w14:textId="77777777" w:rsidR="009F253B" w:rsidRPr="00196C9A" w:rsidRDefault="009F253B" w:rsidP="00886B56">
      <w:pPr>
        <w:tabs>
          <w:tab w:val="left" w:pos="360"/>
        </w:tabs>
        <w:autoSpaceDE w:val="0"/>
        <w:autoSpaceDN w:val="0"/>
        <w:adjustRightInd w:val="0"/>
        <w:spacing w:after="120" w:line="240" w:lineRule="auto"/>
        <w:ind w:left="720" w:hanging="720"/>
        <w:contextualSpacing/>
        <w:rPr>
          <w:rFonts w:ascii="Times New Roman" w:hAnsi="Times New Roman" w:cs="Times New Roman"/>
          <w:b/>
          <w:u w:val="single"/>
        </w:rPr>
      </w:pPr>
      <w:r w:rsidRPr="00196C9A">
        <w:rPr>
          <w:rFonts w:ascii="Times New Roman" w:hAnsi="Times New Roman" w:cs="Times New Roman"/>
          <w:b/>
          <w:u w:val="single"/>
        </w:rPr>
        <w:t>References</w:t>
      </w:r>
    </w:p>
    <w:p w14:paraId="0E9ED73E" w14:textId="6D12C518" w:rsidR="009B3113" w:rsidRPr="00196C9A" w:rsidRDefault="009B3113" w:rsidP="009B3113">
      <w:pPr>
        <w:pStyle w:val="ListParagraph"/>
        <w:numPr>
          <w:ilvl w:val="0"/>
          <w:numId w:val="7"/>
        </w:numPr>
        <w:tabs>
          <w:tab w:val="left" w:pos="360"/>
        </w:tabs>
        <w:autoSpaceDE w:val="0"/>
        <w:autoSpaceDN w:val="0"/>
        <w:adjustRightInd w:val="0"/>
        <w:spacing w:after="120" w:line="240" w:lineRule="auto"/>
        <w:jc w:val="both"/>
        <w:rPr>
          <w:rFonts w:ascii="Times New Roman" w:hAnsi="Times New Roman" w:cs="Times New Roman"/>
        </w:rPr>
      </w:pPr>
      <w:hyperlink r:id="rId13" w:history="1">
        <w:r w:rsidRPr="00196C9A">
          <w:rPr>
            <w:rStyle w:val="Hyperlink"/>
            <w:rFonts w:ascii="Times New Roman" w:hAnsi="Times New Roman" w:cs="Times New Roman"/>
          </w:rPr>
          <w:t>https://www.cdc.gov/labs/bmbl/index.html</w:t>
        </w:r>
      </w:hyperlink>
    </w:p>
    <w:p w14:paraId="0A610CA0" w14:textId="0F23CA9B" w:rsidR="009B3113" w:rsidRPr="00196C9A" w:rsidRDefault="009B3113" w:rsidP="009B3113">
      <w:pPr>
        <w:pStyle w:val="ListParagraph"/>
        <w:numPr>
          <w:ilvl w:val="0"/>
          <w:numId w:val="7"/>
        </w:numPr>
        <w:tabs>
          <w:tab w:val="left" w:pos="360"/>
        </w:tabs>
        <w:autoSpaceDE w:val="0"/>
        <w:autoSpaceDN w:val="0"/>
        <w:adjustRightInd w:val="0"/>
        <w:spacing w:after="120" w:line="240" w:lineRule="auto"/>
        <w:jc w:val="both"/>
        <w:rPr>
          <w:rFonts w:ascii="Times New Roman" w:hAnsi="Times New Roman" w:cs="Times New Roman"/>
        </w:rPr>
      </w:pPr>
      <w:hyperlink r:id="rId14" w:history="1">
        <w:r w:rsidRPr="00196C9A">
          <w:rPr>
            <w:rStyle w:val="Hyperlink"/>
            <w:rFonts w:ascii="Times New Roman" w:hAnsi="Times New Roman" w:cs="Times New Roman"/>
          </w:rPr>
          <w:t>https://osp.od.nih.gov/wp-content/uploads/NIH_Guidelines.pdf</w:t>
        </w:r>
      </w:hyperlink>
    </w:p>
    <w:p w14:paraId="31E136C8" w14:textId="77777777" w:rsidR="009B4B17" w:rsidRDefault="009B4B17" w:rsidP="009B4B17">
      <w:pPr>
        <w:pStyle w:val="ListParagraph"/>
        <w:numPr>
          <w:ilvl w:val="0"/>
          <w:numId w:val="7"/>
        </w:numPr>
        <w:tabs>
          <w:tab w:val="left" w:pos="360"/>
        </w:tabs>
        <w:autoSpaceDE w:val="0"/>
        <w:autoSpaceDN w:val="0"/>
        <w:adjustRightInd w:val="0"/>
        <w:spacing w:after="120" w:line="240" w:lineRule="auto"/>
        <w:jc w:val="both"/>
        <w:rPr>
          <w:rFonts w:ascii="Times New Roman" w:hAnsi="Times New Roman" w:cs="Times New Roman"/>
        </w:rPr>
      </w:pPr>
      <w:hyperlink r:id="rId15" w:history="1">
        <w:r w:rsidRPr="008D2380">
          <w:rPr>
            <w:rStyle w:val="Hyperlink"/>
            <w:rFonts w:ascii="Times New Roman" w:hAnsi="Times New Roman" w:cs="Times New Roman"/>
          </w:rPr>
          <w:t>https://bidenwhitehouse.archives.gov/wp-content/uploads/2024/05/USG-Policy-for-Oversight-of-DURC-and-PEPP.pdf</w:t>
        </w:r>
      </w:hyperlink>
      <w:r>
        <w:rPr>
          <w:rFonts w:ascii="Times New Roman" w:hAnsi="Times New Roman" w:cs="Times New Roman"/>
        </w:rPr>
        <w:t xml:space="preserve"> </w:t>
      </w:r>
    </w:p>
    <w:p w14:paraId="5DA6FD92" w14:textId="7A97F00E" w:rsidR="00E73EE1" w:rsidRPr="009B4B17" w:rsidRDefault="009B4B17" w:rsidP="009B4B17">
      <w:pPr>
        <w:pStyle w:val="ListParagraph"/>
        <w:numPr>
          <w:ilvl w:val="0"/>
          <w:numId w:val="7"/>
        </w:numPr>
        <w:tabs>
          <w:tab w:val="left" w:pos="360"/>
        </w:tabs>
        <w:autoSpaceDE w:val="0"/>
        <w:autoSpaceDN w:val="0"/>
        <w:adjustRightInd w:val="0"/>
        <w:spacing w:after="120" w:line="240" w:lineRule="auto"/>
        <w:jc w:val="both"/>
        <w:rPr>
          <w:rFonts w:ascii="Times New Roman" w:hAnsi="Times New Roman" w:cs="Times New Roman"/>
        </w:rPr>
      </w:pPr>
      <w:hyperlink r:id="rId16" w:history="1">
        <w:r w:rsidRPr="008D2380">
          <w:rPr>
            <w:rStyle w:val="Hyperlink"/>
            <w:rFonts w:ascii="Times New Roman" w:hAnsi="Times New Roman" w:cs="Times New Roman"/>
          </w:rPr>
          <w:t>https://bidenwhitehouse.archives.gov/wp-content/uploads/2024/05/USG-DURC-PEPP-Implementation-Guidance.pdf</w:t>
        </w:r>
      </w:hyperlink>
      <w:r w:rsidRPr="009B4B17">
        <w:rPr>
          <w:rFonts w:ascii="Times New Roman" w:hAnsi="Times New Roman" w:cs="Times New Roman"/>
        </w:rPr>
        <w:t xml:space="preserve"> </w:t>
      </w:r>
    </w:p>
    <w:sectPr w:rsidR="00E73EE1" w:rsidRPr="009B4B17" w:rsidSect="00E75299">
      <w:footerReference w:type="default" r:id="rId17"/>
      <w:pgSz w:w="12240" w:h="15840"/>
      <w:pgMar w:top="720" w:right="720" w:bottom="720" w:left="720"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tony Schwartz, PhD" w:date="2025-04-25T12:30:00Z" w:initials="AS">
    <w:p w14:paraId="05982DB7" w14:textId="77777777" w:rsidR="00196C9A" w:rsidRDefault="00196C9A" w:rsidP="00196C9A">
      <w:pPr>
        <w:pStyle w:val="CommentText"/>
      </w:pPr>
      <w:r>
        <w:rPr>
          <w:rStyle w:val="CommentReference"/>
        </w:rPr>
        <w:annotationRef/>
      </w:r>
      <w:r>
        <w:t>Add additional details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982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B4CB3" w16cex:dateUtc="2025-04-25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982DB7" w16cid:durableId="7A9B4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ACBE" w14:textId="77777777" w:rsidR="00C50AB0" w:rsidRDefault="00C50AB0" w:rsidP="00276CAE">
      <w:pPr>
        <w:spacing w:after="0" w:line="240" w:lineRule="auto"/>
      </w:pPr>
      <w:r>
        <w:separator/>
      </w:r>
    </w:p>
  </w:endnote>
  <w:endnote w:type="continuationSeparator" w:id="0">
    <w:p w14:paraId="568E3D5E" w14:textId="77777777" w:rsidR="00C50AB0" w:rsidRDefault="00C50AB0" w:rsidP="0027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30453"/>
      <w:docPartObj>
        <w:docPartGallery w:val="Page Numbers (Bottom of Page)"/>
        <w:docPartUnique/>
      </w:docPartObj>
    </w:sdtPr>
    <w:sdtEndPr>
      <w:rPr>
        <w:noProof/>
      </w:rPr>
    </w:sdtEndPr>
    <w:sdtContent>
      <w:p w14:paraId="4D0284B7" w14:textId="5E4024CE" w:rsidR="001804B5" w:rsidRDefault="001804B5">
        <w:pPr>
          <w:pStyle w:val="Footer"/>
          <w:jc w:val="right"/>
        </w:pPr>
        <w:r>
          <w:fldChar w:fldCharType="begin"/>
        </w:r>
        <w:r>
          <w:instrText xml:space="preserve"> PAGE   \* MERGEFORMAT </w:instrText>
        </w:r>
        <w:r>
          <w:fldChar w:fldCharType="separate"/>
        </w:r>
        <w:r w:rsidR="00E63422">
          <w:rPr>
            <w:noProof/>
          </w:rPr>
          <w:t>4</w:t>
        </w:r>
        <w:r>
          <w:rPr>
            <w:noProof/>
          </w:rPr>
          <w:fldChar w:fldCharType="end"/>
        </w:r>
      </w:p>
    </w:sdtContent>
  </w:sdt>
  <w:p w14:paraId="74AA50B8" w14:textId="77777777" w:rsidR="001804B5" w:rsidRDefault="0018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9783" w14:textId="77777777" w:rsidR="00C50AB0" w:rsidRDefault="00C50AB0" w:rsidP="00276CAE">
      <w:pPr>
        <w:spacing w:after="0" w:line="240" w:lineRule="auto"/>
      </w:pPr>
      <w:r>
        <w:separator/>
      </w:r>
    </w:p>
  </w:footnote>
  <w:footnote w:type="continuationSeparator" w:id="0">
    <w:p w14:paraId="6E787E11" w14:textId="77777777" w:rsidR="00C50AB0" w:rsidRDefault="00C50AB0" w:rsidP="0027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583D"/>
    <w:multiLevelType w:val="multilevel"/>
    <w:tmpl w:val="B52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569D4"/>
    <w:multiLevelType w:val="hybridMultilevel"/>
    <w:tmpl w:val="5FE0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37CB6"/>
    <w:multiLevelType w:val="hybridMultilevel"/>
    <w:tmpl w:val="EEA02D3C"/>
    <w:lvl w:ilvl="0" w:tplc="B48832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34C9B"/>
    <w:multiLevelType w:val="hybridMultilevel"/>
    <w:tmpl w:val="1144E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AB522A"/>
    <w:multiLevelType w:val="hybridMultilevel"/>
    <w:tmpl w:val="BDB4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E60AF"/>
    <w:multiLevelType w:val="hybridMultilevel"/>
    <w:tmpl w:val="EFE4B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8F792B"/>
    <w:multiLevelType w:val="hybridMultilevel"/>
    <w:tmpl w:val="8B3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332C2"/>
    <w:multiLevelType w:val="hybridMultilevel"/>
    <w:tmpl w:val="152E065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734D27AC"/>
    <w:multiLevelType w:val="hybridMultilevel"/>
    <w:tmpl w:val="5E2C3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262027"/>
    <w:multiLevelType w:val="hybridMultilevel"/>
    <w:tmpl w:val="3EA0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E2538"/>
    <w:multiLevelType w:val="hybridMultilevel"/>
    <w:tmpl w:val="E6E2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690474">
    <w:abstractNumId w:val="0"/>
  </w:num>
  <w:num w:numId="2" w16cid:durableId="487594605">
    <w:abstractNumId w:val="4"/>
  </w:num>
  <w:num w:numId="3" w16cid:durableId="1293101574">
    <w:abstractNumId w:val="10"/>
  </w:num>
  <w:num w:numId="4" w16cid:durableId="402341852">
    <w:abstractNumId w:val="6"/>
  </w:num>
  <w:num w:numId="5" w16cid:durableId="794715437">
    <w:abstractNumId w:val="1"/>
  </w:num>
  <w:num w:numId="6" w16cid:durableId="339356721">
    <w:abstractNumId w:val="9"/>
  </w:num>
  <w:num w:numId="7" w16cid:durableId="1500536204">
    <w:abstractNumId w:val="5"/>
  </w:num>
  <w:num w:numId="8" w16cid:durableId="1173374944">
    <w:abstractNumId w:val="7"/>
  </w:num>
  <w:num w:numId="9" w16cid:durableId="645084054">
    <w:abstractNumId w:val="3"/>
  </w:num>
  <w:num w:numId="10" w16cid:durableId="1922061351">
    <w:abstractNumId w:val="8"/>
  </w:num>
  <w:num w:numId="11" w16cid:durableId="21169743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y Schwartz, PhD">
    <w15:presenceInfo w15:providerId="AD" w15:userId="S::as859@duke.edu::b0ab3355-0cff-4abb-858e-a4bacc2e5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95"/>
    <w:rsid w:val="00004C37"/>
    <w:rsid w:val="000729FC"/>
    <w:rsid w:val="0008006F"/>
    <w:rsid w:val="00084E7E"/>
    <w:rsid w:val="000855A6"/>
    <w:rsid w:val="000B0A80"/>
    <w:rsid w:val="000B173F"/>
    <w:rsid w:val="000B7789"/>
    <w:rsid w:val="000C27FB"/>
    <w:rsid w:val="00102989"/>
    <w:rsid w:val="001057F3"/>
    <w:rsid w:val="001073EB"/>
    <w:rsid w:val="0010796D"/>
    <w:rsid w:val="001120FD"/>
    <w:rsid w:val="001138EB"/>
    <w:rsid w:val="00116A7A"/>
    <w:rsid w:val="001339E4"/>
    <w:rsid w:val="00143813"/>
    <w:rsid w:val="00163863"/>
    <w:rsid w:val="001804B5"/>
    <w:rsid w:val="00186BC8"/>
    <w:rsid w:val="00190636"/>
    <w:rsid w:val="00194D20"/>
    <w:rsid w:val="00196C9A"/>
    <w:rsid w:val="001A7DD9"/>
    <w:rsid w:val="001D05AF"/>
    <w:rsid w:val="001D2F06"/>
    <w:rsid w:val="001E2085"/>
    <w:rsid w:val="001E3633"/>
    <w:rsid w:val="002039E5"/>
    <w:rsid w:val="00214A38"/>
    <w:rsid w:val="00225865"/>
    <w:rsid w:val="0022646D"/>
    <w:rsid w:val="002350B8"/>
    <w:rsid w:val="00241EEC"/>
    <w:rsid w:val="00244F73"/>
    <w:rsid w:val="00254E35"/>
    <w:rsid w:val="00273A3B"/>
    <w:rsid w:val="00275D00"/>
    <w:rsid w:val="00276CAE"/>
    <w:rsid w:val="002808B7"/>
    <w:rsid w:val="00286584"/>
    <w:rsid w:val="00290784"/>
    <w:rsid w:val="002B6569"/>
    <w:rsid w:val="002C242D"/>
    <w:rsid w:val="002C3839"/>
    <w:rsid w:val="002C59E9"/>
    <w:rsid w:val="002D386C"/>
    <w:rsid w:val="002D4390"/>
    <w:rsid w:val="002F20C4"/>
    <w:rsid w:val="00301348"/>
    <w:rsid w:val="00316327"/>
    <w:rsid w:val="0032635D"/>
    <w:rsid w:val="00354BB1"/>
    <w:rsid w:val="00364A92"/>
    <w:rsid w:val="003906FF"/>
    <w:rsid w:val="00392B32"/>
    <w:rsid w:val="003A1AB9"/>
    <w:rsid w:val="003B1FBC"/>
    <w:rsid w:val="003B7C8A"/>
    <w:rsid w:val="003C1E81"/>
    <w:rsid w:val="003C5799"/>
    <w:rsid w:val="003D0198"/>
    <w:rsid w:val="003D09D0"/>
    <w:rsid w:val="003D264E"/>
    <w:rsid w:val="003E1929"/>
    <w:rsid w:val="003E66D9"/>
    <w:rsid w:val="003E76E1"/>
    <w:rsid w:val="003F0CFA"/>
    <w:rsid w:val="003F1EF9"/>
    <w:rsid w:val="003F6079"/>
    <w:rsid w:val="00403A59"/>
    <w:rsid w:val="004162FB"/>
    <w:rsid w:val="00416938"/>
    <w:rsid w:val="0042246D"/>
    <w:rsid w:val="00442D7D"/>
    <w:rsid w:val="00446B85"/>
    <w:rsid w:val="004529F1"/>
    <w:rsid w:val="00472403"/>
    <w:rsid w:val="0048449E"/>
    <w:rsid w:val="0049223F"/>
    <w:rsid w:val="00497D83"/>
    <w:rsid w:val="004A5155"/>
    <w:rsid w:val="004A6B03"/>
    <w:rsid w:val="004B7233"/>
    <w:rsid w:val="004D1AE4"/>
    <w:rsid w:val="004D4D3A"/>
    <w:rsid w:val="004E3D5C"/>
    <w:rsid w:val="004F45B8"/>
    <w:rsid w:val="00502F9E"/>
    <w:rsid w:val="005103E2"/>
    <w:rsid w:val="00513D7D"/>
    <w:rsid w:val="0051452F"/>
    <w:rsid w:val="005156EF"/>
    <w:rsid w:val="00525DFF"/>
    <w:rsid w:val="00534984"/>
    <w:rsid w:val="00547CBA"/>
    <w:rsid w:val="00556629"/>
    <w:rsid w:val="00574502"/>
    <w:rsid w:val="00582DB3"/>
    <w:rsid w:val="005A079A"/>
    <w:rsid w:val="005A4BC1"/>
    <w:rsid w:val="005C230C"/>
    <w:rsid w:val="005C2F7A"/>
    <w:rsid w:val="005C46EF"/>
    <w:rsid w:val="005C6BE3"/>
    <w:rsid w:val="005D692B"/>
    <w:rsid w:val="005D7A40"/>
    <w:rsid w:val="005E5439"/>
    <w:rsid w:val="005F1D3F"/>
    <w:rsid w:val="00601D7F"/>
    <w:rsid w:val="00611A9C"/>
    <w:rsid w:val="0064687F"/>
    <w:rsid w:val="00650732"/>
    <w:rsid w:val="0065593D"/>
    <w:rsid w:val="006565AA"/>
    <w:rsid w:val="00674A27"/>
    <w:rsid w:val="006B511E"/>
    <w:rsid w:val="006B66EE"/>
    <w:rsid w:val="00700FAD"/>
    <w:rsid w:val="0073399D"/>
    <w:rsid w:val="00741AB5"/>
    <w:rsid w:val="007443B7"/>
    <w:rsid w:val="007520FE"/>
    <w:rsid w:val="00772C7A"/>
    <w:rsid w:val="00787297"/>
    <w:rsid w:val="007917E6"/>
    <w:rsid w:val="007926B0"/>
    <w:rsid w:val="00792E66"/>
    <w:rsid w:val="007931AB"/>
    <w:rsid w:val="007B4EE6"/>
    <w:rsid w:val="007C1822"/>
    <w:rsid w:val="007C18A1"/>
    <w:rsid w:val="007C3686"/>
    <w:rsid w:val="007F0AC2"/>
    <w:rsid w:val="00801EFB"/>
    <w:rsid w:val="0080781D"/>
    <w:rsid w:val="008126B4"/>
    <w:rsid w:val="00817CB7"/>
    <w:rsid w:val="00821A54"/>
    <w:rsid w:val="0083190A"/>
    <w:rsid w:val="0084313F"/>
    <w:rsid w:val="008671A8"/>
    <w:rsid w:val="008719BD"/>
    <w:rsid w:val="00883111"/>
    <w:rsid w:val="00885546"/>
    <w:rsid w:val="00885C6E"/>
    <w:rsid w:val="00886B56"/>
    <w:rsid w:val="00891C9F"/>
    <w:rsid w:val="008B5312"/>
    <w:rsid w:val="008C7373"/>
    <w:rsid w:val="008D2851"/>
    <w:rsid w:val="008E3B88"/>
    <w:rsid w:val="008F595A"/>
    <w:rsid w:val="008F6934"/>
    <w:rsid w:val="00926B97"/>
    <w:rsid w:val="00927EB6"/>
    <w:rsid w:val="0093373E"/>
    <w:rsid w:val="00954843"/>
    <w:rsid w:val="00961247"/>
    <w:rsid w:val="00965325"/>
    <w:rsid w:val="00966A90"/>
    <w:rsid w:val="009700BF"/>
    <w:rsid w:val="00987570"/>
    <w:rsid w:val="009904F9"/>
    <w:rsid w:val="00990587"/>
    <w:rsid w:val="0099335E"/>
    <w:rsid w:val="009B3113"/>
    <w:rsid w:val="009B492A"/>
    <w:rsid w:val="009B4932"/>
    <w:rsid w:val="009B4B17"/>
    <w:rsid w:val="009C303F"/>
    <w:rsid w:val="009C3905"/>
    <w:rsid w:val="009E27F3"/>
    <w:rsid w:val="009E4F57"/>
    <w:rsid w:val="009F0538"/>
    <w:rsid w:val="009F253B"/>
    <w:rsid w:val="009F57A9"/>
    <w:rsid w:val="00A00B84"/>
    <w:rsid w:val="00A17909"/>
    <w:rsid w:val="00A20C07"/>
    <w:rsid w:val="00A24FB2"/>
    <w:rsid w:val="00A318E2"/>
    <w:rsid w:val="00A43C20"/>
    <w:rsid w:val="00A47F98"/>
    <w:rsid w:val="00A54249"/>
    <w:rsid w:val="00A56EA5"/>
    <w:rsid w:val="00A80310"/>
    <w:rsid w:val="00A83A40"/>
    <w:rsid w:val="00A87203"/>
    <w:rsid w:val="00AB4F71"/>
    <w:rsid w:val="00AE5E80"/>
    <w:rsid w:val="00AF46E1"/>
    <w:rsid w:val="00B142F2"/>
    <w:rsid w:val="00B156E5"/>
    <w:rsid w:val="00B244EE"/>
    <w:rsid w:val="00B35460"/>
    <w:rsid w:val="00B53EB8"/>
    <w:rsid w:val="00B54593"/>
    <w:rsid w:val="00B610AF"/>
    <w:rsid w:val="00B858C9"/>
    <w:rsid w:val="00B96256"/>
    <w:rsid w:val="00BA3883"/>
    <w:rsid w:val="00BB36F1"/>
    <w:rsid w:val="00BB5B8F"/>
    <w:rsid w:val="00BB6B22"/>
    <w:rsid w:val="00BB79AC"/>
    <w:rsid w:val="00BC0933"/>
    <w:rsid w:val="00BD380A"/>
    <w:rsid w:val="00BD4D4C"/>
    <w:rsid w:val="00BE54A5"/>
    <w:rsid w:val="00C02425"/>
    <w:rsid w:val="00C32C7A"/>
    <w:rsid w:val="00C33CD3"/>
    <w:rsid w:val="00C50AB0"/>
    <w:rsid w:val="00C66CD4"/>
    <w:rsid w:val="00C73595"/>
    <w:rsid w:val="00C73678"/>
    <w:rsid w:val="00C81F2C"/>
    <w:rsid w:val="00C95A84"/>
    <w:rsid w:val="00CA3CE2"/>
    <w:rsid w:val="00CA486D"/>
    <w:rsid w:val="00CA5F85"/>
    <w:rsid w:val="00CB7008"/>
    <w:rsid w:val="00CC1F79"/>
    <w:rsid w:val="00CC671C"/>
    <w:rsid w:val="00CC704E"/>
    <w:rsid w:val="00CD70E3"/>
    <w:rsid w:val="00CE61C2"/>
    <w:rsid w:val="00CE7D1A"/>
    <w:rsid w:val="00D21FA8"/>
    <w:rsid w:val="00D23BC4"/>
    <w:rsid w:val="00D274F6"/>
    <w:rsid w:val="00D32C0F"/>
    <w:rsid w:val="00D33CE9"/>
    <w:rsid w:val="00D44E22"/>
    <w:rsid w:val="00D705C0"/>
    <w:rsid w:val="00DB1D37"/>
    <w:rsid w:val="00DB59B3"/>
    <w:rsid w:val="00DC41CC"/>
    <w:rsid w:val="00DD5A62"/>
    <w:rsid w:val="00DF61D3"/>
    <w:rsid w:val="00E21453"/>
    <w:rsid w:val="00E463A2"/>
    <w:rsid w:val="00E47B39"/>
    <w:rsid w:val="00E63422"/>
    <w:rsid w:val="00E655A9"/>
    <w:rsid w:val="00E73EE1"/>
    <w:rsid w:val="00E75299"/>
    <w:rsid w:val="00E75C98"/>
    <w:rsid w:val="00E852E4"/>
    <w:rsid w:val="00E87490"/>
    <w:rsid w:val="00E87807"/>
    <w:rsid w:val="00E92763"/>
    <w:rsid w:val="00E9412A"/>
    <w:rsid w:val="00E9596C"/>
    <w:rsid w:val="00E95D4B"/>
    <w:rsid w:val="00EB1279"/>
    <w:rsid w:val="00EB1E81"/>
    <w:rsid w:val="00EC077B"/>
    <w:rsid w:val="00EC254D"/>
    <w:rsid w:val="00EE1D6A"/>
    <w:rsid w:val="00EE3AAE"/>
    <w:rsid w:val="00EF3985"/>
    <w:rsid w:val="00F0335B"/>
    <w:rsid w:val="00F1000A"/>
    <w:rsid w:val="00F44AF7"/>
    <w:rsid w:val="00F65722"/>
    <w:rsid w:val="00F75161"/>
    <w:rsid w:val="00F75407"/>
    <w:rsid w:val="00F827D7"/>
    <w:rsid w:val="00F95644"/>
    <w:rsid w:val="00FA0A5F"/>
    <w:rsid w:val="00FA1086"/>
    <w:rsid w:val="00FA196C"/>
    <w:rsid w:val="00FB6576"/>
    <w:rsid w:val="00FC50D7"/>
    <w:rsid w:val="00FC7E76"/>
    <w:rsid w:val="00FE1219"/>
    <w:rsid w:val="00FE2A2C"/>
    <w:rsid w:val="00FE3926"/>
    <w:rsid w:val="00FE44D6"/>
    <w:rsid w:val="00FE47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2C26DE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35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35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35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3595"/>
    <w:rPr>
      <w:color w:val="0000FF"/>
      <w:u w:val="single"/>
    </w:rPr>
  </w:style>
  <w:style w:type="paragraph" w:styleId="Header">
    <w:name w:val="header"/>
    <w:basedOn w:val="Normal"/>
    <w:link w:val="HeaderChar"/>
    <w:uiPriority w:val="99"/>
    <w:unhideWhenUsed/>
    <w:rsid w:val="00276CAE"/>
    <w:pPr>
      <w:tabs>
        <w:tab w:val="center" w:pos="4252"/>
        <w:tab w:val="right" w:pos="8504"/>
      </w:tabs>
      <w:snapToGrid w:val="0"/>
    </w:pPr>
  </w:style>
  <w:style w:type="character" w:customStyle="1" w:styleId="HeaderChar">
    <w:name w:val="Header Char"/>
    <w:basedOn w:val="DefaultParagraphFont"/>
    <w:link w:val="Header"/>
    <w:uiPriority w:val="99"/>
    <w:rsid w:val="00276CAE"/>
  </w:style>
  <w:style w:type="paragraph" w:styleId="Footer">
    <w:name w:val="footer"/>
    <w:basedOn w:val="Normal"/>
    <w:link w:val="FooterChar"/>
    <w:uiPriority w:val="99"/>
    <w:unhideWhenUsed/>
    <w:rsid w:val="00276CAE"/>
    <w:pPr>
      <w:tabs>
        <w:tab w:val="center" w:pos="4252"/>
        <w:tab w:val="right" w:pos="8504"/>
      </w:tabs>
      <w:snapToGrid w:val="0"/>
    </w:pPr>
  </w:style>
  <w:style w:type="character" w:customStyle="1" w:styleId="FooterChar">
    <w:name w:val="Footer Char"/>
    <w:basedOn w:val="DefaultParagraphFont"/>
    <w:link w:val="Footer"/>
    <w:uiPriority w:val="99"/>
    <w:rsid w:val="00276CAE"/>
  </w:style>
  <w:style w:type="paragraph" w:styleId="BalloonText">
    <w:name w:val="Balloon Text"/>
    <w:basedOn w:val="Normal"/>
    <w:link w:val="BalloonTextChar"/>
    <w:uiPriority w:val="99"/>
    <w:semiHidden/>
    <w:unhideWhenUsed/>
    <w:rsid w:val="0022586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25865"/>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CB7008"/>
    <w:rPr>
      <w:sz w:val="16"/>
      <w:szCs w:val="16"/>
    </w:rPr>
  </w:style>
  <w:style w:type="paragraph" w:styleId="CommentText">
    <w:name w:val="annotation text"/>
    <w:basedOn w:val="Normal"/>
    <w:link w:val="CommentTextChar"/>
    <w:uiPriority w:val="99"/>
    <w:unhideWhenUsed/>
    <w:rsid w:val="00CB7008"/>
    <w:pPr>
      <w:spacing w:line="240" w:lineRule="auto"/>
    </w:pPr>
    <w:rPr>
      <w:sz w:val="20"/>
      <w:szCs w:val="20"/>
    </w:rPr>
  </w:style>
  <w:style w:type="character" w:customStyle="1" w:styleId="CommentTextChar">
    <w:name w:val="Comment Text Char"/>
    <w:basedOn w:val="DefaultParagraphFont"/>
    <w:link w:val="CommentText"/>
    <w:uiPriority w:val="99"/>
    <w:rsid w:val="00CB7008"/>
    <w:rPr>
      <w:sz w:val="20"/>
      <w:szCs w:val="20"/>
    </w:rPr>
  </w:style>
  <w:style w:type="paragraph" w:styleId="CommentSubject">
    <w:name w:val="annotation subject"/>
    <w:basedOn w:val="CommentText"/>
    <w:next w:val="CommentText"/>
    <w:link w:val="CommentSubjectChar"/>
    <w:uiPriority w:val="99"/>
    <w:semiHidden/>
    <w:unhideWhenUsed/>
    <w:rsid w:val="00CB7008"/>
    <w:rPr>
      <w:b/>
      <w:bCs/>
    </w:rPr>
  </w:style>
  <w:style w:type="character" w:customStyle="1" w:styleId="CommentSubjectChar">
    <w:name w:val="Comment Subject Char"/>
    <w:basedOn w:val="CommentTextChar"/>
    <w:link w:val="CommentSubject"/>
    <w:uiPriority w:val="99"/>
    <w:semiHidden/>
    <w:rsid w:val="00CB7008"/>
    <w:rPr>
      <w:b/>
      <w:bCs/>
      <w:sz w:val="20"/>
      <w:szCs w:val="20"/>
    </w:rPr>
  </w:style>
  <w:style w:type="paragraph" w:styleId="ListParagraph">
    <w:name w:val="List Paragraph"/>
    <w:basedOn w:val="Normal"/>
    <w:uiPriority w:val="34"/>
    <w:qFormat/>
    <w:rsid w:val="00CB7008"/>
    <w:pPr>
      <w:ind w:left="720"/>
      <w:contextualSpacing/>
    </w:pPr>
  </w:style>
  <w:style w:type="paragraph" w:customStyle="1" w:styleId="Default">
    <w:name w:val="Default"/>
    <w:rsid w:val="008F595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244EE"/>
    <w:rPr>
      <w:color w:val="800080" w:themeColor="followedHyperlink"/>
      <w:u w:val="single"/>
    </w:rPr>
  </w:style>
  <w:style w:type="paragraph" w:styleId="Revision">
    <w:name w:val="Revision"/>
    <w:hidden/>
    <w:uiPriority w:val="99"/>
    <w:semiHidden/>
    <w:rsid w:val="00556629"/>
    <w:pPr>
      <w:spacing w:after="0" w:line="240" w:lineRule="auto"/>
    </w:pPr>
  </w:style>
  <w:style w:type="paragraph" w:styleId="HTMLPreformatted">
    <w:name w:val="HTML Preformatted"/>
    <w:basedOn w:val="Normal"/>
    <w:link w:val="HTMLPreformattedChar"/>
    <w:uiPriority w:val="99"/>
    <w:semiHidden/>
    <w:rsid w:val="00484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48449E"/>
    <w:rPr>
      <w:rFonts w:ascii="Courier New" w:eastAsia="Calibri" w:hAnsi="Courier New" w:cs="Times New Roman"/>
      <w:sz w:val="20"/>
      <w:szCs w:val="20"/>
      <w:lang w:val="x-none" w:eastAsia="x-none"/>
    </w:rPr>
  </w:style>
  <w:style w:type="character" w:customStyle="1" w:styleId="UnresolvedMention1">
    <w:name w:val="Unresolved Mention1"/>
    <w:basedOn w:val="DefaultParagraphFont"/>
    <w:uiPriority w:val="99"/>
    <w:rsid w:val="00C33CD3"/>
    <w:rPr>
      <w:color w:val="605E5C"/>
      <w:shd w:val="clear" w:color="auto" w:fill="E1DFDD"/>
    </w:rPr>
  </w:style>
  <w:style w:type="table" w:styleId="TableGrid">
    <w:name w:val="Table Grid"/>
    <w:basedOn w:val="TableNormal"/>
    <w:uiPriority w:val="59"/>
    <w:rsid w:val="002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01334">
      <w:bodyDiv w:val="1"/>
      <w:marLeft w:val="0"/>
      <w:marRight w:val="0"/>
      <w:marTop w:val="0"/>
      <w:marBottom w:val="0"/>
      <w:divBdr>
        <w:top w:val="none" w:sz="0" w:space="0" w:color="auto"/>
        <w:left w:val="none" w:sz="0" w:space="0" w:color="auto"/>
        <w:bottom w:val="none" w:sz="0" w:space="0" w:color="auto"/>
        <w:right w:val="none" w:sz="0" w:space="0" w:color="auto"/>
      </w:divBdr>
    </w:div>
    <w:div w:id="1329793070">
      <w:bodyDiv w:val="1"/>
      <w:marLeft w:val="0"/>
      <w:marRight w:val="0"/>
      <w:marTop w:val="0"/>
      <w:marBottom w:val="0"/>
      <w:divBdr>
        <w:top w:val="none" w:sz="0" w:space="0" w:color="auto"/>
        <w:left w:val="none" w:sz="0" w:space="0" w:color="auto"/>
        <w:bottom w:val="none" w:sz="0" w:space="0" w:color="auto"/>
        <w:right w:val="none" w:sz="0" w:space="0" w:color="auto"/>
      </w:divBdr>
    </w:div>
    <w:div w:id="1528568808">
      <w:bodyDiv w:val="1"/>
      <w:marLeft w:val="0"/>
      <w:marRight w:val="0"/>
      <w:marTop w:val="0"/>
      <w:marBottom w:val="0"/>
      <w:divBdr>
        <w:top w:val="none" w:sz="0" w:space="0" w:color="auto"/>
        <w:left w:val="none" w:sz="0" w:space="0" w:color="auto"/>
        <w:bottom w:val="none" w:sz="0" w:space="0" w:color="auto"/>
        <w:right w:val="none" w:sz="0" w:space="0" w:color="auto"/>
      </w:divBdr>
    </w:div>
    <w:div w:id="20954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safety.dksctest.dhe.duke.edu/sites/default/files/USG-Policy-for-Oversight-of-DURC-and-PEPP.pdf" TargetMode="External"/><Relationship Id="rId13" Type="http://schemas.openxmlformats.org/officeDocument/2006/relationships/hyperlink" Target="https://www.cdc.gov/labs/bmbl/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denwhitehouse.archives.gov/wp-content/uploads/2024/05/USG-DURC-PEPP-Implementation-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bidenwhitehouse.archives.gov/wp-content/uploads/2024/05/USG-Policy-for-Oversight-of-DURC-and-PEPP.pdf"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sp.od.nih.gov/wp-content/uploads/NIH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C697-D471-4481-9774-87C17824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Neumann</dc:creator>
  <cp:lastModifiedBy>Antony Schwartz, PhD</cp:lastModifiedBy>
  <cp:revision>9</cp:revision>
  <cp:lastPrinted>2013-04-17T15:50:00Z</cp:lastPrinted>
  <dcterms:created xsi:type="dcterms:W3CDTF">2025-03-24T21:36:00Z</dcterms:created>
  <dcterms:modified xsi:type="dcterms:W3CDTF">2025-04-25T16:42:00Z</dcterms:modified>
</cp:coreProperties>
</file>