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2A0EA" w14:textId="292CCADF" w:rsidR="00DF6D7F" w:rsidRPr="008801FE" w:rsidRDefault="00DF6D7F" w:rsidP="008801FE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r w:rsidRPr="008801FE">
        <w:rPr>
          <w:rFonts w:ascii="Times New Roman" w:hAnsi="Times New Roman"/>
          <w:b/>
          <w:sz w:val="24"/>
        </w:rPr>
        <w:t>Standard Operating Procedure</w:t>
      </w:r>
    </w:p>
    <w:bookmarkEnd w:id="0"/>
    <w:p w14:paraId="6754091F" w14:textId="77777777" w:rsidR="00DF6D7F" w:rsidRDefault="00DF6D7F" w:rsidP="00DF6D7F">
      <w:pPr>
        <w:spacing w:after="0" w:line="240" w:lineRule="auto"/>
        <w:ind w:left="36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for</w:t>
      </w:r>
      <w:proofErr w:type="gramEnd"/>
      <w:r>
        <w:rPr>
          <w:rFonts w:ascii="Times New Roman" w:hAnsi="Times New Roman"/>
        </w:rPr>
        <w:t xml:space="preserve"> work(</w:t>
      </w:r>
      <w:proofErr w:type="spellStart"/>
      <w:r>
        <w:rPr>
          <w:rFonts w:ascii="Times New Roman" w:hAnsi="Times New Roman"/>
          <w:i/>
          <w:color w:val="FF0000"/>
        </w:rPr>
        <w:t>ing</w:t>
      </w:r>
      <w:proofErr w:type="spellEnd"/>
      <w:r>
        <w:rPr>
          <w:rFonts w:ascii="Times New Roman" w:hAnsi="Times New Roman"/>
        </w:rPr>
        <w:t xml:space="preserve">) with </w:t>
      </w:r>
      <w:r>
        <w:rPr>
          <w:rFonts w:ascii="Times New Roman" w:hAnsi="Times New Roman"/>
          <w:i/>
          <w:color w:val="FF0000"/>
        </w:rPr>
        <w:t>Phosgene (75-44-5).</w:t>
      </w:r>
    </w:p>
    <w:p w14:paraId="1DEEDB7B" w14:textId="77777777" w:rsidR="00DF6D7F" w:rsidRDefault="00DF6D7F" w:rsidP="00DF6D7F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tbl>
      <w:tblPr>
        <w:tblW w:w="10288" w:type="dxa"/>
        <w:tblInd w:w="360" w:type="dxa"/>
        <w:tblLook w:val="04A0" w:firstRow="1" w:lastRow="0" w:firstColumn="1" w:lastColumn="0" w:noHBand="0" w:noVBand="1"/>
      </w:tblPr>
      <w:tblGrid>
        <w:gridCol w:w="2370"/>
        <w:gridCol w:w="528"/>
        <w:gridCol w:w="417"/>
        <w:gridCol w:w="461"/>
        <w:gridCol w:w="439"/>
        <w:gridCol w:w="6073"/>
      </w:tblGrid>
      <w:tr w:rsidR="00DF6D7F" w14:paraId="537B1F72" w14:textId="77777777" w:rsidTr="00DF6D7F">
        <w:trPr>
          <w:trHeight w:val="253"/>
        </w:trPr>
        <w:tc>
          <w:tcPr>
            <w:tcW w:w="421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66C2C4" w14:textId="77777777" w:rsidR="00DF6D7F" w:rsidRDefault="00DF6D7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PI:</w:t>
            </w:r>
          </w:p>
        </w:tc>
        <w:tc>
          <w:tcPr>
            <w:tcW w:w="60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4AC52D" w14:textId="77777777" w:rsidR="00DF6D7F" w:rsidRDefault="00DF6D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Building(s):</w:t>
            </w:r>
          </w:p>
        </w:tc>
      </w:tr>
      <w:tr w:rsidR="00DF6D7F" w14:paraId="3591CF2E" w14:textId="77777777" w:rsidTr="00DF6D7F">
        <w:trPr>
          <w:trHeight w:val="253"/>
        </w:trPr>
        <w:tc>
          <w:tcPr>
            <w:tcW w:w="421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7238EC" w14:textId="77777777" w:rsidR="00DF6D7F" w:rsidRDefault="00DF6D7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PI Signature: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FE8DC6" w14:textId="77777777" w:rsidR="00DF6D7F" w:rsidRDefault="00DF6D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Room Number(s):</w:t>
            </w:r>
          </w:p>
        </w:tc>
      </w:tr>
      <w:tr w:rsidR="00DF6D7F" w14:paraId="66444DA2" w14:textId="77777777" w:rsidTr="00DF6D7F">
        <w:trPr>
          <w:trHeight w:val="253"/>
        </w:trPr>
        <w:tc>
          <w:tcPr>
            <w:tcW w:w="421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C5E111" w14:textId="77777777" w:rsidR="00DF6D7F" w:rsidRDefault="00DF6D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Date: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581C5A" w14:textId="77777777" w:rsidR="00DF6D7F" w:rsidRDefault="00DF6D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Designated Work Area:</w:t>
            </w:r>
          </w:p>
        </w:tc>
      </w:tr>
      <w:tr w:rsidR="00DF6D7F" w14:paraId="161C45F0" w14:textId="77777777" w:rsidTr="00DF6D7F">
        <w:trPr>
          <w:trHeight w:val="253"/>
        </w:trPr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5632EBE" w14:textId="77777777" w:rsidR="00DF6D7F" w:rsidRDefault="00DF6D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OESO Approval?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90528A2" w14:textId="77777777" w:rsidR="00DF6D7F" w:rsidRDefault="00DF6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Yes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</w:rPr>
            <w:id w:val="206714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12" w:space="0" w:color="auto"/>
                  <w:left w:val="single" w:sz="8" w:space="0" w:color="auto"/>
                  <w:bottom w:val="single" w:sz="12" w:space="0" w:color="auto"/>
                  <w:right w:val="single" w:sz="8" w:space="0" w:color="auto"/>
                </w:tcBorders>
                <w:hideMark/>
              </w:tcPr>
              <w:p w14:paraId="45F4A11F" w14:textId="77777777" w:rsidR="00DF6D7F" w:rsidRDefault="00DF6D7F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4D60D09" w14:textId="77777777" w:rsidR="00DF6D7F" w:rsidRDefault="00DF6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</w:rPr>
            <w:id w:val="130836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single" w:sz="12" w:space="0" w:color="auto"/>
                  <w:left w:val="single" w:sz="8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32BEE5E4" w14:textId="77777777" w:rsidR="00DF6D7F" w:rsidRDefault="00DF6D7F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862A93" w14:textId="77777777" w:rsidR="00DF6D7F" w:rsidRDefault="00DF6D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OESO Signature:</w:t>
            </w:r>
          </w:p>
        </w:tc>
      </w:tr>
      <w:tr w:rsidR="00DF6D7F" w14:paraId="2778F2E4" w14:textId="77777777" w:rsidTr="00DF6D7F">
        <w:trPr>
          <w:trHeight w:val="253"/>
        </w:trPr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B3B751" w14:textId="77777777" w:rsidR="00DF6D7F" w:rsidRDefault="00DF6D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Departmental Approval?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A8C81EE" w14:textId="77777777" w:rsidR="00DF6D7F" w:rsidRDefault="00DF6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Yes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</w:rPr>
            <w:id w:val="-1813322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single" w:sz="12" w:space="0" w:color="auto"/>
                  <w:left w:val="single" w:sz="8" w:space="0" w:color="auto"/>
                  <w:bottom w:val="single" w:sz="12" w:space="0" w:color="auto"/>
                  <w:right w:val="single" w:sz="8" w:space="0" w:color="auto"/>
                </w:tcBorders>
                <w:hideMark/>
              </w:tcPr>
              <w:p w14:paraId="2B6169B2" w14:textId="77777777" w:rsidR="00DF6D7F" w:rsidRDefault="00DF6D7F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3208A29" w14:textId="77777777" w:rsidR="00DF6D7F" w:rsidRDefault="00DF6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</w:rPr>
            <w:id w:val="-103411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tcBorders>
                  <w:top w:val="single" w:sz="12" w:space="0" w:color="auto"/>
                  <w:left w:val="single" w:sz="8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22611F16" w14:textId="77777777" w:rsidR="00DF6D7F" w:rsidRDefault="00DF6D7F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F260D1" w14:textId="77777777" w:rsidR="00DF6D7F" w:rsidRDefault="00DF6D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Departmental Signature:</w:t>
            </w:r>
          </w:p>
        </w:tc>
      </w:tr>
    </w:tbl>
    <w:p w14:paraId="10242738" w14:textId="77777777" w:rsidR="00577322" w:rsidRPr="00FE5674" w:rsidRDefault="00577322" w:rsidP="00577322">
      <w:pPr>
        <w:spacing w:after="0" w:line="240" w:lineRule="auto"/>
      </w:pPr>
    </w:p>
    <w:p w14:paraId="56013A47" w14:textId="77777777" w:rsidR="00577322" w:rsidRPr="000B6CFA" w:rsidRDefault="00577322" w:rsidP="00577322">
      <w:pPr>
        <w:numPr>
          <w:ilvl w:val="0"/>
          <w:numId w:val="4"/>
        </w:numPr>
        <w:spacing w:after="0" w:line="240" w:lineRule="auto"/>
      </w:pPr>
      <w:r w:rsidRPr="000B6CFA">
        <w:rPr>
          <w:b/>
          <w:bCs/>
          <w:u w:val="single"/>
        </w:rPr>
        <w:t>Circumstances of Use: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2"/>
      </w:tblGrid>
      <w:tr w:rsidR="00577322" w:rsidRPr="000B6CFA" w14:paraId="7381E295" w14:textId="77777777" w:rsidTr="004A4064">
        <w:tc>
          <w:tcPr>
            <w:tcW w:w="10638" w:type="dxa"/>
          </w:tcPr>
          <w:p w14:paraId="082592B5" w14:textId="77777777" w:rsidR="00B72CE6" w:rsidRDefault="00577322" w:rsidP="004A406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This SOP must be customized for each lab using </w:t>
            </w:r>
            <w:r w:rsidR="006E072E">
              <w:rPr>
                <w:bCs/>
              </w:rPr>
              <w:t>phosgene</w:t>
            </w:r>
            <w:r>
              <w:rPr>
                <w:bCs/>
              </w:rPr>
              <w:t xml:space="preserve">. </w:t>
            </w:r>
          </w:p>
          <w:p w14:paraId="2479E639" w14:textId="77777777" w:rsidR="00577322" w:rsidRPr="00EA2A70" w:rsidRDefault="000D6FF3" w:rsidP="00E51749">
            <w:pPr>
              <w:spacing w:after="0" w:line="240" w:lineRule="auto"/>
              <w:rPr>
                <w:bCs/>
              </w:rPr>
            </w:pPr>
            <w:r>
              <w:rPr>
                <w:bCs/>
                <w:i/>
                <w:color w:val="FF0000"/>
              </w:rPr>
              <w:t xml:space="preserve">Use this section to describe the </w:t>
            </w:r>
            <w:r w:rsidR="00B72CE6" w:rsidRPr="00674317">
              <w:rPr>
                <w:bCs/>
                <w:i/>
                <w:color w:val="FF0000"/>
              </w:rPr>
              <w:t>circumstances of use, including concentration and quantity</w:t>
            </w:r>
            <w:r w:rsidR="00E51749">
              <w:rPr>
                <w:bCs/>
                <w:i/>
                <w:color w:val="FF0000"/>
              </w:rPr>
              <w:t xml:space="preserve"> (i.e., for gas cylinders:  size and number)</w:t>
            </w:r>
            <w:r w:rsidR="00B72CE6">
              <w:rPr>
                <w:bCs/>
                <w:i/>
                <w:color w:val="FF0000"/>
              </w:rPr>
              <w:t>.</w:t>
            </w:r>
          </w:p>
        </w:tc>
      </w:tr>
    </w:tbl>
    <w:p w14:paraId="58DE7214" w14:textId="77777777" w:rsidR="00577322" w:rsidRPr="000B6CFA" w:rsidRDefault="00577322" w:rsidP="00577322">
      <w:pPr>
        <w:spacing w:after="0" w:line="240" w:lineRule="auto"/>
      </w:pPr>
      <w:r w:rsidRPr="000B6CFA">
        <w:rPr>
          <w:bCs/>
        </w:rPr>
        <w:t xml:space="preserve"> </w:t>
      </w:r>
    </w:p>
    <w:p w14:paraId="68CB3E28" w14:textId="77777777" w:rsidR="00577322" w:rsidRPr="000B6CFA" w:rsidRDefault="00577322" w:rsidP="00577322">
      <w:pPr>
        <w:numPr>
          <w:ilvl w:val="0"/>
          <w:numId w:val="4"/>
        </w:numPr>
        <w:spacing w:after="0" w:line="240" w:lineRule="auto"/>
      </w:pPr>
      <w:r w:rsidRPr="000B6CFA">
        <w:rPr>
          <w:b/>
          <w:bCs/>
          <w:u w:val="single"/>
        </w:rPr>
        <w:t>Potential Hazards:</w:t>
      </w:r>
      <w:r w:rsidRPr="000B6CFA">
        <w:rPr>
          <w:bCs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2"/>
      </w:tblGrid>
      <w:tr w:rsidR="00577322" w:rsidRPr="000B6CFA" w14:paraId="723AD35F" w14:textId="77777777" w:rsidTr="004A4064">
        <w:tc>
          <w:tcPr>
            <w:tcW w:w="10638" w:type="dxa"/>
          </w:tcPr>
          <w:p w14:paraId="581C7D04" w14:textId="1AB56D9A" w:rsidR="0033364A" w:rsidRDefault="00E13912" w:rsidP="00D42A58">
            <w:pPr>
              <w:spacing w:after="0" w:line="240" w:lineRule="auto"/>
            </w:pPr>
            <w:r>
              <w:t xml:space="preserve">Phosgene is </w:t>
            </w:r>
            <w:r w:rsidR="001A30BC">
              <w:t>a</w:t>
            </w:r>
            <w:r w:rsidR="00320E20">
              <w:t xml:space="preserve"> non-</w:t>
            </w:r>
            <w:r w:rsidR="0033364A">
              <w:t>flammable</w:t>
            </w:r>
            <w:r w:rsidR="001A30BC">
              <w:t xml:space="preserve"> colorless gas with a hay-like odor at low</w:t>
            </w:r>
            <w:r w:rsidR="00B61C1F">
              <w:t>er</w:t>
            </w:r>
            <w:r w:rsidR="001A30BC">
              <w:t xml:space="preserve"> levels</w:t>
            </w:r>
            <w:r w:rsidR="00B61C1F">
              <w:t>, pungent at higher levels; detectable at 0.1 to 5.7 ppm</w:t>
            </w:r>
            <w:r w:rsidR="00D42A58">
              <w:t xml:space="preserve">.  The OSHA PEL </w:t>
            </w:r>
            <w:r w:rsidR="00DF6D7F">
              <w:t>is</w:t>
            </w:r>
            <w:r w:rsidR="00D42A58">
              <w:t xml:space="preserve"> 0.1 ppm as an 8 hour time-weighted average</w:t>
            </w:r>
            <w:r w:rsidR="00DF6D7F">
              <w:t>, and the ACGIH TLV is 0.</w:t>
            </w:r>
            <w:r w:rsidR="00524A86">
              <w:t>0</w:t>
            </w:r>
            <w:r w:rsidR="00DF6D7F">
              <w:t>2 ppm as a Ceiling Limit.</w:t>
            </w:r>
          </w:p>
          <w:p w14:paraId="57F4DF4A" w14:textId="77777777" w:rsidR="00B61C1F" w:rsidRDefault="00B416AD" w:rsidP="00D42A58">
            <w:pPr>
              <w:spacing w:after="0" w:line="240" w:lineRule="auto"/>
            </w:pPr>
            <w:r>
              <w:t xml:space="preserve">                                                      </w:t>
            </w:r>
            <w:r w:rsidR="00D144B8">
              <w:t xml:space="preserve"> </w:t>
            </w:r>
            <w:r w:rsidR="003305B5">
              <w:rPr>
                <w:noProof/>
              </w:rPr>
              <w:drawing>
                <wp:inline distT="0" distB="0" distL="0" distR="0" wp14:anchorId="08E09621" wp14:editId="07FC6FAA">
                  <wp:extent cx="839336" cy="839336"/>
                  <wp:effectExtent l="190500" t="190500" r="189865" b="18986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896092">
                            <a:off x="0" y="0"/>
                            <a:ext cx="842909" cy="842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 w:rsidR="003305B5">
              <w:rPr>
                <w:noProof/>
              </w:rPr>
              <w:drawing>
                <wp:inline distT="0" distB="0" distL="0" distR="0" wp14:anchorId="40C5D625" wp14:editId="25EDE259">
                  <wp:extent cx="846736" cy="846736"/>
                  <wp:effectExtent l="190500" t="190500" r="182245" b="182245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637502">
                            <a:off x="0" y="0"/>
                            <a:ext cx="848146" cy="848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26F5BE" w14:textId="09A27B4C" w:rsidR="00B61C1F" w:rsidRDefault="00B61C1F" w:rsidP="00D42A58">
            <w:pPr>
              <w:numPr>
                <w:ilvl w:val="0"/>
                <w:numId w:val="6"/>
              </w:numPr>
              <w:spacing w:after="0" w:line="240" w:lineRule="auto"/>
              <w:ind w:left="360"/>
            </w:pPr>
            <w:r>
              <w:t>Phosgene is Particularly Hazardous</w:t>
            </w:r>
            <w:r w:rsidR="00DF6D7F">
              <w:t xml:space="preserve"> and High Risk, Action A</w:t>
            </w:r>
            <w:r>
              <w:t xml:space="preserve">.  It is </w:t>
            </w:r>
            <w:r w:rsidR="00D71FBC">
              <w:t>Fatal by inhalation</w:t>
            </w:r>
            <w:r w:rsidR="00DF6D7F">
              <w:t>, category 1 and corrosive to the eyes</w:t>
            </w:r>
            <w:r w:rsidR="00D71FBC">
              <w:t xml:space="preserve">, </w:t>
            </w:r>
            <w:r w:rsidR="00DF6D7F">
              <w:t>skin and respiratory tract. S</w:t>
            </w:r>
            <w:r w:rsidR="00E13912">
              <w:t>hort-term</w:t>
            </w:r>
            <w:r>
              <w:t xml:space="preserve"> (acute) inhalation exposure c</w:t>
            </w:r>
            <w:r w:rsidR="00D144B8">
              <w:t>an cause s</w:t>
            </w:r>
            <w:r w:rsidR="00E13912">
              <w:t>evere respiratory effec</w:t>
            </w:r>
            <w:r w:rsidR="00DE174B">
              <w:t xml:space="preserve">ts, including pulmonary edema, </w:t>
            </w:r>
            <w:r w:rsidR="00E13912">
              <w:t xml:space="preserve">pulmonary emphysema, and </w:t>
            </w:r>
            <w:r>
              <w:t xml:space="preserve">possibly </w:t>
            </w:r>
            <w:r w:rsidR="00E13912">
              <w:t>death</w:t>
            </w:r>
            <w:r w:rsidR="0062671B" w:rsidRPr="0062671B">
              <w:rPr>
                <w:vertAlign w:val="superscript"/>
              </w:rPr>
              <w:t>1</w:t>
            </w:r>
            <w:r w:rsidR="00E13912">
              <w:t xml:space="preserve">. </w:t>
            </w:r>
            <w:r w:rsidR="00D144B8">
              <w:t xml:space="preserve"> </w:t>
            </w:r>
          </w:p>
          <w:p w14:paraId="39AE6E63" w14:textId="77777777" w:rsidR="00B416AD" w:rsidRDefault="00B61C1F" w:rsidP="00D42A58">
            <w:pPr>
              <w:numPr>
                <w:ilvl w:val="0"/>
                <w:numId w:val="6"/>
              </w:numPr>
              <w:spacing w:after="0" w:line="240" w:lineRule="auto"/>
              <w:ind w:left="360"/>
            </w:pPr>
            <w:r>
              <w:t>Phosgene is severely irritating and corrosive to all body tissues.</w:t>
            </w:r>
            <w:r w:rsidR="00320E20">
              <w:t xml:space="preserve">  It</w:t>
            </w:r>
            <w:r>
              <w:t xml:space="preserve"> reacts with water to form </w:t>
            </w:r>
            <w:r w:rsidR="00EF5F2B">
              <w:t>hydrochloric acid and carbon dioxide</w:t>
            </w:r>
            <w:r w:rsidR="00E13912">
              <w:t xml:space="preserve">.  </w:t>
            </w:r>
            <w:r w:rsidR="00B416AD">
              <w:t xml:space="preserve">It can cause severe skin burns, eye damage, </w:t>
            </w:r>
            <w:r w:rsidR="006E072E">
              <w:t xml:space="preserve">and </w:t>
            </w:r>
            <w:r w:rsidR="00B416AD">
              <w:t>destruction to the tissue of the mucous membranes and upper respiratory tract.</w:t>
            </w:r>
          </w:p>
          <w:p w14:paraId="73CDA92C" w14:textId="77777777" w:rsidR="00B61C1F" w:rsidRDefault="00B416AD" w:rsidP="00D42A58">
            <w:pPr>
              <w:numPr>
                <w:ilvl w:val="0"/>
                <w:numId w:val="6"/>
              </w:numPr>
              <w:spacing w:after="0" w:line="240" w:lineRule="auto"/>
              <w:ind w:left="360"/>
            </w:pPr>
            <w:r>
              <w:t>May be harmful if absorbed through the skin</w:t>
            </w:r>
            <w:r w:rsidR="0062671B" w:rsidRPr="0062671B">
              <w:rPr>
                <w:vertAlign w:val="superscript"/>
              </w:rPr>
              <w:t>2</w:t>
            </w:r>
            <w:r>
              <w:t>.</w:t>
            </w:r>
            <w:r w:rsidR="00E13912">
              <w:t xml:space="preserve"> </w:t>
            </w:r>
          </w:p>
          <w:p w14:paraId="33DFFBB0" w14:textId="77777777" w:rsidR="00175B38" w:rsidRDefault="00B61C1F" w:rsidP="00C9565F">
            <w:pPr>
              <w:numPr>
                <w:ilvl w:val="0"/>
                <w:numId w:val="6"/>
              </w:numPr>
              <w:spacing w:after="0" w:line="240" w:lineRule="auto"/>
              <w:ind w:left="360"/>
            </w:pPr>
            <w:r>
              <w:t>C</w:t>
            </w:r>
            <w:r w:rsidR="00E13912">
              <w:t>hronic (long-term) inhalation exposure may cause irreversible pulmonary changes of emphysema and fibrosis</w:t>
            </w:r>
            <w:r w:rsidR="0062671B" w:rsidRPr="0062671B">
              <w:rPr>
                <w:vertAlign w:val="superscript"/>
              </w:rPr>
              <w:t>1</w:t>
            </w:r>
            <w:r w:rsidR="00E13912">
              <w:t>.</w:t>
            </w:r>
            <w:r w:rsidR="00DE174B">
              <w:t xml:space="preserve"> </w:t>
            </w:r>
          </w:p>
          <w:p w14:paraId="32C76EC6" w14:textId="77777777" w:rsidR="00577322" w:rsidRPr="00175B38" w:rsidRDefault="00175B38" w:rsidP="00175B38">
            <w:pPr>
              <w:numPr>
                <w:ilvl w:val="0"/>
                <w:numId w:val="6"/>
              </w:numPr>
              <w:spacing w:after="0" w:line="240" w:lineRule="auto"/>
              <w:ind w:left="360"/>
            </w:pPr>
            <w:r>
              <w:t xml:space="preserve">As with any compressed gas cylinder, </w:t>
            </w:r>
            <w:r w:rsidRPr="00175B38">
              <w:t>the large amount of potential energy contained makes these cylinders a potential rocket or bomb if the pressure is released through rupture of the valve or container failure.</w:t>
            </w:r>
          </w:p>
          <w:p w14:paraId="27F1619F" w14:textId="0DE1FC52" w:rsidR="00175B38" w:rsidRPr="000B6CFA" w:rsidRDefault="00DE174B" w:rsidP="00C17421">
            <w:pPr>
              <w:spacing w:after="0" w:line="240" w:lineRule="auto"/>
            </w:pPr>
            <w:r>
              <w:t>For more safety information, refer to</w:t>
            </w:r>
            <w:r w:rsidR="00EB1055">
              <w:t xml:space="preserve"> the</w:t>
            </w:r>
            <w:r>
              <w:t xml:space="preserve"> </w:t>
            </w:r>
            <w:hyperlink r:id="rId10" w:anchor="datasheet=LCSS" w:history="1">
              <w:r w:rsidR="00F536E2">
                <w:rPr>
                  <w:rStyle w:val="Hyperlink"/>
                </w:rPr>
                <w:t>Laboratory Chemical Safety Summary for Phosgene</w:t>
              </w:r>
            </w:hyperlink>
            <w:r w:rsidR="00EB1055">
              <w:rPr>
                <w:rStyle w:val="Hyperlink"/>
              </w:rPr>
              <w:t xml:space="preserve"> on PubChem</w:t>
            </w:r>
            <w:r w:rsidR="0062671B">
              <w:t>.</w:t>
            </w:r>
          </w:p>
        </w:tc>
      </w:tr>
    </w:tbl>
    <w:p w14:paraId="55CBCFB5" w14:textId="77777777" w:rsidR="00577322" w:rsidRPr="000B6CFA" w:rsidRDefault="00577322" w:rsidP="00577322">
      <w:pPr>
        <w:spacing w:after="0" w:line="240" w:lineRule="auto"/>
      </w:pPr>
    </w:p>
    <w:p w14:paraId="1783C913" w14:textId="77777777" w:rsidR="00EB1055" w:rsidRPr="007C5071" w:rsidRDefault="00EB1055" w:rsidP="007C5071">
      <w:pPr>
        <w:spacing w:after="0" w:line="240" w:lineRule="auto"/>
        <w:ind w:left="360"/>
      </w:pPr>
    </w:p>
    <w:p w14:paraId="06EC37B0" w14:textId="470EA2AE" w:rsidR="00577322" w:rsidRPr="000B6CFA" w:rsidRDefault="00577322" w:rsidP="00577322">
      <w:pPr>
        <w:numPr>
          <w:ilvl w:val="0"/>
          <w:numId w:val="4"/>
        </w:numPr>
        <w:spacing w:after="0" w:line="240" w:lineRule="auto"/>
      </w:pPr>
      <w:r w:rsidRPr="000B6CFA">
        <w:rPr>
          <w:b/>
          <w:bCs/>
          <w:u w:val="single"/>
        </w:rPr>
        <w:t>Engineering Controls:</w:t>
      </w:r>
      <w:r w:rsidRPr="000B6CFA">
        <w:rPr>
          <w:bCs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30"/>
      </w:tblGrid>
      <w:tr w:rsidR="00577322" w:rsidRPr="000B6CFA" w14:paraId="0CC2C9F9" w14:textId="77777777" w:rsidTr="004A4064">
        <w:tc>
          <w:tcPr>
            <w:tcW w:w="11016" w:type="dxa"/>
          </w:tcPr>
          <w:p w14:paraId="2F2101C0" w14:textId="77777777" w:rsidR="004A2F13" w:rsidRDefault="00577322" w:rsidP="004A2F13">
            <w:pPr>
              <w:spacing w:after="0" w:line="240" w:lineRule="auto"/>
            </w:pPr>
            <w:r>
              <w:t>The minimum acceptable engineering control</w:t>
            </w:r>
            <w:r w:rsidR="00E51749">
              <w:t>s</w:t>
            </w:r>
            <w:r>
              <w:t xml:space="preserve"> for </w:t>
            </w:r>
            <w:r w:rsidR="00523BC4">
              <w:t>phosgene</w:t>
            </w:r>
            <w:r>
              <w:t xml:space="preserve"> use </w:t>
            </w:r>
            <w:r w:rsidR="00E51749">
              <w:t xml:space="preserve">are </w:t>
            </w:r>
            <w:r>
              <w:t>a chemical fume hood</w:t>
            </w:r>
            <w:r w:rsidR="004A2F13">
              <w:t xml:space="preserve"> in a negative pressure room</w:t>
            </w:r>
            <w:r w:rsidR="00C74481">
              <w:t xml:space="preserve">, secure </w:t>
            </w:r>
            <w:r w:rsidR="006667DB">
              <w:t xml:space="preserve">cylinder </w:t>
            </w:r>
            <w:r w:rsidR="00C74481">
              <w:t>storage</w:t>
            </w:r>
            <w:r w:rsidR="006667DB">
              <w:t xml:space="preserve"> (via chains, cylinder stand, or gas cabinet)</w:t>
            </w:r>
            <w:r w:rsidR="00C74481">
              <w:t>, and regulators and valves approved for use with phosgene.</w:t>
            </w:r>
            <w:r w:rsidR="004A2F13">
              <w:t xml:space="preserve"> </w:t>
            </w:r>
          </w:p>
          <w:p w14:paraId="204D000A" w14:textId="77777777" w:rsidR="00577322" w:rsidRDefault="00577322" w:rsidP="00523BC4">
            <w:pPr>
              <w:spacing w:after="0" w:line="240" w:lineRule="auto"/>
            </w:pPr>
            <w:r>
              <w:t>Depending on the amount, concentration, and other properties of the gas, some of the follo</w:t>
            </w:r>
            <w:r w:rsidR="00523BC4">
              <w:t>wing controls may be required:</w:t>
            </w:r>
            <w:r w:rsidR="00523BC4">
              <w:tab/>
            </w:r>
          </w:p>
          <w:p w14:paraId="45073894" w14:textId="77777777" w:rsidR="00320E20" w:rsidRDefault="00320E20" w:rsidP="004A4064">
            <w:pPr>
              <w:numPr>
                <w:ilvl w:val="3"/>
                <w:numId w:val="1"/>
              </w:numPr>
              <w:spacing w:after="0" w:line="240" w:lineRule="auto"/>
              <w:ind w:left="360"/>
            </w:pPr>
            <w:r>
              <w:t xml:space="preserve">Exhausted gas cabinet for </w:t>
            </w:r>
            <w:r w:rsidR="00E51749">
              <w:t>cylinder(s)</w:t>
            </w:r>
            <w:r w:rsidR="00D42A58">
              <w:t>.</w:t>
            </w:r>
          </w:p>
          <w:p w14:paraId="41126167" w14:textId="77777777" w:rsidR="00320E20" w:rsidRDefault="00320E20" w:rsidP="004A4064">
            <w:pPr>
              <w:numPr>
                <w:ilvl w:val="3"/>
                <w:numId w:val="1"/>
              </w:numPr>
              <w:spacing w:after="0" w:line="240" w:lineRule="auto"/>
              <w:ind w:left="360"/>
            </w:pPr>
            <w:r>
              <w:t>Electronic safety shut-off valve attached to cylinder with a negative pressure sensor inside the fume hood exhaust system.  In the event of a fume hood exhaust system failure, this valve will respond by closing off all gas flow from the cylinder.</w:t>
            </w:r>
          </w:p>
          <w:p w14:paraId="792F8BE0" w14:textId="77777777" w:rsidR="00C74481" w:rsidRDefault="00C74481" w:rsidP="004A4064">
            <w:pPr>
              <w:numPr>
                <w:ilvl w:val="3"/>
                <w:numId w:val="1"/>
              </w:numPr>
              <w:spacing w:after="0" w:line="240" w:lineRule="auto"/>
              <w:ind w:left="360"/>
            </w:pPr>
            <w:r>
              <w:lastRenderedPageBreak/>
              <w:t xml:space="preserve">Phosgene </w:t>
            </w:r>
            <w:r w:rsidR="00C9565F">
              <w:t>sensor/detector with or without alarm</w:t>
            </w:r>
            <w:r>
              <w:t>.</w:t>
            </w:r>
          </w:p>
          <w:p w14:paraId="3015F9F3" w14:textId="77777777" w:rsidR="00577322" w:rsidRPr="00C74481" w:rsidRDefault="00577322" w:rsidP="004A4064">
            <w:pPr>
              <w:numPr>
                <w:ilvl w:val="3"/>
                <w:numId w:val="1"/>
              </w:numPr>
              <w:spacing w:after="0" w:line="240" w:lineRule="auto"/>
              <w:ind w:left="360"/>
            </w:pPr>
            <w:r w:rsidRPr="00C74481">
              <w:t>Restrictive flow orifices that limit the flow of gas</w:t>
            </w:r>
            <w:r w:rsidR="00D42A58">
              <w:t>.</w:t>
            </w:r>
          </w:p>
          <w:p w14:paraId="5622B691" w14:textId="77777777" w:rsidR="00577322" w:rsidRPr="000B6CFA" w:rsidRDefault="00DF1F94" w:rsidP="00221702">
            <w:pPr>
              <w:numPr>
                <w:ilvl w:val="3"/>
                <w:numId w:val="1"/>
              </w:numPr>
              <w:spacing w:after="0" w:line="240" w:lineRule="auto"/>
              <w:ind w:left="360"/>
            </w:pPr>
            <w:r>
              <w:t>Scrubbed exhaust</w:t>
            </w:r>
            <w:r w:rsidR="003811FB">
              <w:t>.</w:t>
            </w:r>
            <w:r>
              <w:t xml:space="preserve"> </w:t>
            </w:r>
          </w:p>
        </w:tc>
      </w:tr>
    </w:tbl>
    <w:p w14:paraId="27CAFB26" w14:textId="77777777" w:rsidR="00577322" w:rsidRPr="000B6CFA" w:rsidRDefault="00577322" w:rsidP="00577322">
      <w:pPr>
        <w:spacing w:after="0" w:line="240" w:lineRule="auto"/>
      </w:pPr>
    </w:p>
    <w:p w14:paraId="3111A24B" w14:textId="77777777" w:rsidR="00577322" w:rsidRPr="000B6CFA" w:rsidRDefault="00577322" w:rsidP="00577322">
      <w:pPr>
        <w:numPr>
          <w:ilvl w:val="0"/>
          <w:numId w:val="4"/>
        </w:numPr>
        <w:spacing w:after="0" w:line="240" w:lineRule="auto"/>
      </w:pPr>
      <w:r w:rsidRPr="000B6CFA">
        <w:rPr>
          <w:b/>
          <w:bCs/>
          <w:u w:val="single"/>
        </w:rPr>
        <w:t>Work Practice Controls:</w:t>
      </w:r>
      <w:r w:rsidRPr="000B6CFA">
        <w:rPr>
          <w:bCs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30"/>
      </w:tblGrid>
      <w:tr w:rsidR="00577322" w:rsidRPr="000B6CFA" w14:paraId="36BAED03" w14:textId="77777777" w:rsidTr="004A4064">
        <w:tc>
          <w:tcPr>
            <w:tcW w:w="11016" w:type="dxa"/>
          </w:tcPr>
          <w:p w14:paraId="0C8BE7A6" w14:textId="77777777" w:rsidR="00A27CF1" w:rsidRPr="00A27CF1" w:rsidRDefault="00577322" w:rsidP="00577322">
            <w:pPr>
              <w:numPr>
                <w:ilvl w:val="0"/>
                <w:numId w:val="3"/>
              </w:numPr>
              <w:spacing w:after="0" w:line="240" w:lineRule="auto"/>
              <w:ind w:left="360"/>
            </w:pPr>
            <w:r w:rsidRPr="00DE4BC4">
              <w:rPr>
                <w:i/>
                <w:color w:val="FF0000"/>
              </w:rPr>
              <w:t>Specific written procedures, approved in advance by the Principal Investigator and OESO (as a High Risk Procedure), are required.</w:t>
            </w:r>
            <w:r w:rsidR="005B4D12" w:rsidRPr="00DE4BC4">
              <w:rPr>
                <w:i/>
                <w:color w:val="FF0000"/>
              </w:rPr>
              <w:t xml:space="preserve"> </w:t>
            </w:r>
            <w:r w:rsidRPr="00DE4BC4">
              <w:rPr>
                <w:i/>
                <w:color w:val="FF0000"/>
              </w:rPr>
              <w:t xml:space="preserve">These must cover all sections of this template. </w:t>
            </w:r>
          </w:p>
          <w:p w14:paraId="6E427AF5" w14:textId="50C35243" w:rsidR="00577322" w:rsidRDefault="00577322" w:rsidP="00577322">
            <w:pPr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 xml:space="preserve">Purchase </w:t>
            </w:r>
            <w:r w:rsidR="00A27CF1">
              <w:t>phosgene</w:t>
            </w:r>
            <w:r>
              <w:t xml:space="preserve"> in the lowest concentration</w:t>
            </w:r>
            <w:r w:rsidR="00B47875">
              <w:t xml:space="preserve"> and</w:t>
            </w:r>
            <w:r>
              <w:t xml:space="preserve"> in the smallest cylinder that makes sense for the lab.  </w:t>
            </w:r>
            <w:r w:rsidR="00B47875">
              <w:t xml:space="preserve">Concentration must be </w:t>
            </w:r>
            <w:r w:rsidR="00B47875" w:rsidRPr="00B47875">
              <w:rPr>
                <w:b/>
              </w:rPr>
              <w:t>less than</w:t>
            </w:r>
            <w:r w:rsidR="00B47875">
              <w:t xml:space="preserve"> 0.17% (1700ppm).</w:t>
            </w:r>
          </w:p>
          <w:p w14:paraId="0773F6ED" w14:textId="77777777" w:rsidR="00EE4B44" w:rsidRDefault="00EE4B44" w:rsidP="00EE4B44">
            <w:pPr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>All work with phosgene must be conducted by at least two trained individuals at all times.</w:t>
            </w:r>
          </w:p>
          <w:p w14:paraId="06D4A78F" w14:textId="77777777" w:rsidR="00EE4B44" w:rsidRDefault="00EE4B44" w:rsidP="00EE4B44">
            <w:pPr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>Gas outlet must be inside chemical fume hood or other engineering control device.</w:t>
            </w:r>
          </w:p>
          <w:p w14:paraId="272CDB0A" w14:textId="77777777" w:rsidR="00EE4B44" w:rsidRDefault="00EE4B44" w:rsidP="00EE4B44">
            <w:pPr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 xml:space="preserve">All exhaust gas must be routed through a dual trap system, with the first trap empty and the second trap </w:t>
            </w:r>
            <w:r w:rsidR="007457E2">
              <w:t>containing a</w:t>
            </w:r>
            <w:r w:rsidR="00B07941">
              <w:t xml:space="preserve">n aqueous </w:t>
            </w:r>
            <w:r w:rsidR="007457E2">
              <w:t xml:space="preserve">sodium hydroxide </w:t>
            </w:r>
            <w:r>
              <w:t>solution</w:t>
            </w:r>
            <w:r w:rsidR="00B07941">
              <w:t xml:space="preserve"> (8% by weight)</w:t>
            </w:r>
            <w:r>
              <w:t xml:space="preserve"> to </w:t>
            </w:r>
            <w:r w:rsidR="007457E2">
              <w:t>quench</w:t>
            </w:r>
            <w:r>
              <w:t xml:space="preserve"> the phosgene</w:t>
            </w:r>
            <w:r w:rsidR="00B07941">
              <w:t>.  Phosgene is converted to sodium chloride, sodium bicarbonate and water</w:t>
            </w:r>
            <w:r>
              <w:t>.  A third trap containing water with a colo</w:t>
            </w:r>
            <w:r w:rsidR="00721E7A">
              <w:t>ri</w:t>
            </w:r>
            <w:r>
              <w:t>metric indicator for acid can be used after the sodium hydroxide in some instances.</w:t>
            </w:r>
          </w:p>
          <w:p w14:paraId="7EDBCA0C" w14:textId="77777777" w:rsidR="00C42CF4" w:rsidRPr="00C42CF4" w:rsidRDefault="00C42CF4" w:rsidP="00C42CF4">
            <w:pPr>
              <w:numPr>
                <w:ilvl w:val="3"/>
                <w:numId w:val="1"/>
              </w:numPr>
              <w:spacing w:after="0" w:line="240" w:lineRule="auto"/>
              <w:ind w:left="360"/>
            </w:pPr>
            <w:r w:rsidRPr="00C42CF4">
              <w:t xml:space="preserve">Phosgene levels in exposure chambers can be determined using </w:t>
            </w:r>
            <w:r w:rsidR="00323264">
              <w:t xml:space="preserve">a </w:t>
            </w:r>
            <w:r w:rsidR="003811FB">
              <w:t xml:space="preserve">phosgene </w:t>
            </w:r>
            <w:r w:rsidRPr="00C42CF4">
              <w:t>gas detector.</w:t>
            </w:r>
          </w:p>
          <w:p w14:paraId="50E33022" w14:textId="77777777" w:rsidR="00EE4B44" w:rsidRDefault="00133E2A" w:rsidP="00EE4B44">
            <w:pPr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>Cylinders,</w:t>
            </w:r>
            <w:r w:rsidR="00577322">
              <w:t xml:space="preserve"> fittings</w:t>
            </w:r>
            <w:r>
              <w:t>, and fume hood should be visually inspected</w:t>
            </w:r>
            <w:r w:rsidR="00577322">
              <w:t xml:space="preserve"> for leaks</w:t>
            </w:r>
            <w:r w:rsidR="00EE4B44">
              <w:t xml:space="preserve"> </w:t>
            </w:r>
            <w:r>
              <w:t>on a routine basis for any indication of leakage or other problems</w:t>
            </w:r>
            <w:r w:rsidR="00577322">
              <w:t>.</w:t>
            </w:r>
          </w:p>
          <w:p w14:paraId="36BA7945" w14:textId="77777777" w:rsidR="00577322" w:rsidRDefault="00577322" w:rsidP="00577322">
            <w:pPr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>Keep valve closed and valve cover in place when gas is not in use.</w:t>
            </w:r>
          </w:p>
          <w:p w14:paraId="2ACB1BA4" w14:textId="77777777" w:rsidR="00EE4B44" w:rsidRDefault="00EE4B44" w:rsidP="00EE4B44">
            <w:pPr>
              <w:numPr>
                <w:ilvl w:val="0"/>
                <w:numId w:val="3"/>
              </w:numPr>
              <w:spacing w:after="0" w:line="240" w:lineRule="auto"/>
              <w:ind w:left="360"/>
            </w:pPr>
            <w:r>
              <w:t xml:space="preserve">Post </w:t>
            </w:r>
            <w:r w:rsidR="003811FB">
              <w:t xml:space="preserve">warning </w:t>
            </w:r>
            <w:r>
              <w:t xml:space="preserve">signs indicating the presence of </w:t>
            </w:r>
            <w:r w:rsidR="00C9565F">
              <w:t>phosgene</w:t>
            </w:r>
            <w:r>
              <w:t xml:space="preserve"> on doors and on fume hood</w:t>
            </w:r>
            <w:r w:rsidR="00323264">
              <w:t xml:space="preserve"> (and gas cabinet, if used)</w:t>
            </w:r>
            <w:r>
              <w:t>.</w:t>
            </w:r>
          </w:p>
          <w:p w14:paraId="4CF038AC" w14:textId="77777777" w:rsidR="00B07941" w:rsidRPr="000B6CFA" w:rsidRDefault="00577322" w:rsidP="0062671B">
            <w:pPr>
              <w:numPr>
                <w:ilvl w:val="0"/>
                <w:numId w:val="3"/>
              </w:numPr>
              <w:spacing w:after="0" w:line="240" w:lineRule="auto"/>
              <w:ind w:left="360"/>
            </w:pPr>
            <w:r w:rsidRPr="001A3060">
              <w:t>All compressed gas cylinders shall be legibly marked by stenciling or stamping with at</w:t>
            </w:r>
            <w:r>
              <w:t xml:space="preserve"> </w:t>
            </w:r>
            <w:r w:rsidRPr="001A3060">
              <w:t>least the chemical name or commonly accepted name of the material contained. In</w:t>
            </w:r>
            <w:r>
              <w:t xml:space="preserve"> </w:t>
            </w:r>
            <w:r w:rsidRPr="001A3060">
              <w:t xml:space="preserve">addition, cylinders should bear the approved markings </w:t>
            </w:r>
            <w:r w:rsidRPr="00323264">
              <w:t>of the Department of Transportation stamped in the metal at the top of the cylinder.</w:t>
            </w:r>
          </w:p>
        </w:tc>
      </w:tr>
    </w:tbl>
    <w:p w14:paraId="3C234D5A" w14:textId="77777777" w:rsidR="00577322" w:rsidRPr="000B6CFA" w:rsidRDefault="00577322" w:rsidP="00577322">
      <w:pPr>
        <w:spacing w:after="0" w:line="240" w:lineRule="auto"/>
      </w:pPr>
    </w:p>
    <w:p w14:paraId="315B578E" w14:textId="77777777" w:rsidR="00577322" w:rsidRPr="000B6CFA" w:rsidRDefault="00577322" w:rsidP="00577322">
      <w:pPr>
        <w:numPr>
          <w:ilvl w:val="0"/>
          <w:numId w:val="4"/>
        </w:numPr>
        <w:spacing w:after="0" w:line="240" w:lineRule="auto"/>
      </w:pPr>
      <w:r w:rsidRPr="000B6CFA">
        <w:rPr>
          <w:b/>
          <w:bCs/>
          <w:u w:val="single"/>
        </w:rPr>
        <w:t>Personal protective equipment (PPE):</w:t>
      </w:r>
      <w:r w:rsidRPr="000B6CFA">
        <w:rPr>
          <w:bCs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2"/>
      </w:tblGrid>
      <w:tr w:rsidR="00577322" w:rsidRPr="000B6CFA" w14:paraId="7DE956F8" w14:textId="77777777" w:rsidTr="004A4064">
        <w:tc>
          <w:tcPr>
            <w:tcW w:w="10638" w:type="dxa"/>
          </w:tcPr>
          <w:p w14:paraId="183A9E9B" w14:textId="77777777" w:rsidR="00577322" w:rsidRDefault="00577322" w:rsidP="004A4064">
            <w:pPr>
              <w:spacing w:after="0" w:line="240" w:lineRule="auto"/>
            </w:pPr>
            <w:r>
              <w:t xml:space="preserve">Engineering controls will provide the primary means of minimizing employee exposure to toxic gases, but in some cases emergency respirators may be advised. Contact OESO Occupational Hygiene and Safety at </w:t>
            </w:r>
            <w:r w:rsidR="001D7A2D">
              <w:t>919-</w:t>
            </w:r>
            <w:r>
              <w:t>684-5996 for advice on respiratory protection.</w:t>
            </w:r>
          </w:p>
          <w:p w14:paraId="1BE366BE" w14:textId="77777777" w:rsidR="00577322" w:rsidRPr="000B6CFA" w:rsidRDefault="00577322" w:rsidP="004A4064">
            <w:pPr>
              <w:spacing w:after="0" w:line="240" w:lineRule="auto"/>
            </w:pPr>
            <w:r>
              <w:t>As with all lab work, wear a fully buttoned lab coat, safety glasses, standard nitrile laboratory gloves, clothing covering the legs, and closed-toed shoes.</w:t>
            </w:r>
          </w:p>
        </w:tc>
      </w:tr>
    </w:tbl>
    <w:p w14:paraId="7BBA6106" w14:textId="77777777" w:rsidR="00577322" w:rsidRPr="000B6CFA" w:rsidRDefault="00577322" w:rsidP="00577322">
      <w:pPr>
        <w:spacing w:after="0" w:line="240" w:lineRule="auto"/>
      </w:pPr>
    </w:p>
    <w:p w14:paraId="382929FA" w14:textId="77777777" w:rsidR="00577322" w:rsidRPr="000B6CFA" w:rsidRDefault="00577322" w:rsidP="00577322">
      <w:pPr>
        <w:numPr>
          <w:ilvl w:val="0"/>
          <w:numId w:val="4"/>
        </w:numPr>
        <w:spacing w:after="0" w:line="240" w:lineRule="auto"/>
        <w:rPr>
          <w:bCs/>
        </w:rPr>
      </w:pPr>
      <w:r w:rsidRPr="000B6CFA">
        <w:rPr>
          <w:b/>
          <w:bCs/>
          <w:u w:val="single"/>
        </w:rPr>
        <w:t>Transportation and Storage</w:t>
      </w:r>
      <w:r w:rsidRPr="000B6CFA">
        <w:rPr>
          <w:b/>
          <w:bCs/>
        </w:rPr>
        <w:t>:</w:t>
      </w:r>
      <w:r w:rsidRPr="000B6CFA">
        <w:rPr>
          <w:bCs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2"/>
      </w:tblGrid>
      <w:tr w:rsidR="00577322" w:rsidRPr="000B6CFA" w14:paraId="1FCB390D" w14:textId="77777777" w:rsidTr="004A4064">
        <w:tc>
          <w:tcPr>
            <w:tcW w:w="10638" w:type="dxa"/>
          </w:tcPr>
          <w:p w14:paraId="1E3C2CF8" w14:textId="77777777" w:rsidR="00577322" w:rsidRPr="007B0118" w:rsidRDefault="00577322" w:rsidP="00577322">
            <w:pPr>
              <w:numPr>
                <w:ilvl w:val="0"/>
                <w:numId w:val="2"/>
              </w:numPr>
              <w:spacing w:after="0" w:line="240" w:lineRule="auto"/>
              <w:ind w:left="360"/>
            </w:pPr>
            <w:r w:rsidRPr="007B0118">
              <w:t xml:space="preserve">Cylinders (full or empty) shall be secured by chains, straps, or other sturdy </w:t>
            </w:r>
            <w:r w:rsidR="0033364A" w:rsidRPr="007B0118">
              <w:t>tie downs</w:t>
            </w:r>
            <w:r>
              <w:t xml:space="preserve"> </w:t>
            </w:r>
            <w:r w:rsidRPr="007B0118">
              <w:t>during storage and transport.</w:t>
            </w:r>
          </w:p>
          <w:p w14:paraId="0595F512" w14:textId="77777777" w:rsidR="00577322" w:rsidRPr="007B0118" w:rsidRDefault="00577322" w:rsidP="00577322">
            <w:pPr>
              <w:numPr>
                <w:ilvl w:val="0"/>
                <w:numId w:val="2"/>
              </w:numPr>
              <w:spacing w:after="0" w:line="240" w:lineRule="auto"/>
              <w:ind w:left="360"/>
            </w:pPr>
            <w:r w:rsidRPr="007B0118">
              <w:t>Full cylinders shall be separated from empty cylinders within the storage area.</w:t>
            </w:r>
          </w:p>
          <w:p w14:paraId="64E7783F" w14:textId="77777777" w:rsidR="00577322" w:rsidRDefault="00577322" w:rsidP="00577322">
            <w:pPr>
              <w:numPr>
                <w:ilvl w:val="0"/>
                <w:numId w:val="2"/>
              </w:numPr>
              <w:spacing w:after="0" w:line="240" w:lineRule="auto"/>
              <w:ind w:left="360"/>
            </w:pPr>
            <w:r w:rsidRPr="007B0118">
              <w:t>Cylinders shall not be stored at t</w:t>
            </w:r>
            <w:r>
              <w:t xml:space="preserve">emperatures above 125 </w:t>
            </w:r>
            <w:r>
              <w:sym w:font="Symbol" w:char="F0B0"/>
            </w:r>
            <w:r>
              <w:t>F</w:t>
            </w:r>
            <w:r w:rsidRPr="007B0118">
              <w:t xml:space="preserve"> or in direct</w:t>
            </w:r>
            <w:r>
              <w:t xml:space="preserve"> </w:t>
            </w:r>
            <w:r w:rsidRPr="007B0118">
              <w:t>sunlight, or outside of the temperature range specified by the manufacturer.</w:t>
            </w:r>
          </w:p>
          <w:p w14:paraId="1EFCF862" w14:textId="77777777" w:rsidR="00577322" w:rsidRPr="007B0118" w:rsidRDefault="00577322" w:rsidP="00577322">
            <w:pPr>
              <w:numPr>
                <w:ilvl w:val="0"/>
                <w:numId w:val="2"/>
              </w:numPr>
              <w:spacing w:after="0" w:line="240" w:lineRule="auto"/>
              <w:ind w:left="360"/>
            </w:pPr>
            <w:r w:rsidRPr="007B0118">
              <w:t>Cylinder valves shall be</w:t>
            </w:r>
            <w:r>
              <w:t xml:space="preserve"> </w:t>
            </w:r>
            <w:r w:rsidRPr="007B0118">
              <w:t>kept closed when not in use.</w:t>
            </w:r>
          </w:p>
          <w:p w14:paraId="69D185DD" w14:textId="77777777" w:rsidR="00577322" w:rsidRDefault="00577322" w:rsidP="00577322">
            <w:pPr>
              <w:numPr>
                <w:ilvl w:val="0"/>
                <w:numId w:val="2"/>
              </w:numPr>
              <w:spacing w:after="0" w:line="240" w:lineRule="auto"/>
              <w:ind w:left="360"/>
            </w:pPr>
            <w:r w:rsidRPr="007B0118">
              <w:t>Removable caps shall be kept on cylinders at all times, except when cylinders are in</w:t>
            </w:r>
            <w:r>
              <w:t xml:space="preserve"> u</w:t>
            </w:r>
            <w:r w:rsidRPr="007B0118">
              <w:t>se</w:t>
            </w:r>
            <w:r>
              <w:t>.</w:t>
            </w:r>
          </w:p>
          <w:p w14:paraId="26096D51" w14:textId="77777777" w:rsidR="00577322" w:rsidRPr="007B0118" w:rsidRDefault="00577322" w:rsidP="00577322">
            <w:pPr>
              <w:numPr>
                <w:ilvl w:val="0"/>
                <w:numId w:val="2"/>
              </w:numPr>
              <w:spacing w:after="0" w:line="240" w:lineRule="auto"/>
              <w:ind w:left="360"/>
            </w:pPr>
            <w:r>
              <w:t>C</w:t>
            </w:r>
            <w:r w:rsidRPr="007B0118">
              <w:t>ylinders shall be protected against tampering and damage.</w:t>
            </w:r>
          </w:p>
          <w:p w14:paraId="52B383D5" w14:textId="77777777" w:rsidR="00577322" w:rsidRDefault="00577322" w:rsidP="00577322">
            <w:pPr>
              <w:numPr>
                <w:ilvl w:val="0"/>
                <w:numId w:val="2"/>
              </w:numPr>
              <w:spacing w:after="0" w:line="240" w:lineRule="auto"/>
              <w:ind w:left="360"/>
            </w:pPr>
            <w:r w:rsidRPr="007B0118">
              <w:t>Cylinders shall not be stored near combustible materials</w:t>
            </w:r>
            <w:r w:rsidR="00C052B2">
              <w:t xml:space="preserve"> or </w:t>
            </w:r>
            <w:r w:rsidR="006667DB">
              <w:t xml:space="preserve">incompatible </w:t>
            </w:r>
            <w:r w:rsidR="00C052B2">
              <w:t>chemicals</w:t>
            </w:r>
            <w:r w:rsidRPr="007B0118">
              <w:t xml:space="preserve">. </w:t>
            </w:r>
          </w:p>
          <w:p w14:paraId="4BD56030" w14:textId="77777777" w:rsidR="00577322" w:rsidRDefault="00577322" w:rsidP="00577322">
            <w:pPr>
              <w:numPr>
                <w:ilvl w:val="0"/>
                <w:numId w:val="2"/>
              </w:numPr>
              <w:spacing w:after="0" w:line="240" w:lineRule="auto"/>
              <w:ind w:left="360"/>
            </w:pPr>
            <w:r w:rsidRPr="007B0118">
              <w:t>Cylinders shall not be refilled.</w:t>
            </w:r>
          </w:p>
          <w:p w14:paraId="53D7FB29" w14:textId="77777777" w:rsidR="00577322" w:rsidRPr="00E16447" w:rsidRDefault="00577322" w:rsidP="00133E2A">
            <w:pPr>
              <w:numPr>
                <w:ilvl w:val="0"/>
                <w:numId w:val="2"/>
              </w:numPr>
              <w:spacing w:after="0" w:line="240" w:lineRule="auto"/>
              <w:ind w:left="360"/>
            </w:pPr>
            <w:r w:rsidRPr="007B0118">
              <w:t>Cylinders</w:t>
            </w:r>
            <w:r>
              <w:t xml:space="preserve"> </w:t>
            </w:r>
            <w:r w:rsidRPr="007B0118">
              <w:t>shall not be used or stored in</w:t>
            </w:r>
            <w:r>
              <w:t xml:space="preserve"> </w:t>
            </w:r>
            <w:r w:rsidRPr="007B0118">
              <w:t xml:space="preserve">cold rooms or other unventilated enclosures. </w:t>
            </w:r>
          </w:p>
        </w:tc>
      </w:tr>
    </w:tbl>
    <w:p w14:paraId="52586371" w14:textId="77777777" w:rsidR="00577322" w:rsidRPr="000B6CFA" w:rsidRDefault="00577322" w:rsidP="00577322">
      <w:pPr>
        <w:spacing w:after="0" w:line="240" w:lineRule="auto"/>
        <w:rPr>
          <w:bCs/>
        </w:rPr>
      </w:pPr>
    </w:p>
    <w:p w14:paraId="23EBB6FA" w14:textId="77777777" w:rsidR="00577322" w:rsidRPr="000B6CFA" w:rsidRDefault="00577322" w:rsidP="00577322">
      <w:pPr>
        <w:numPr>
          <w:ilvl w:val="0"/>
          <w:numId w:val="4"/>
        </w:numPr>
        <w:spacing w:after="0" w:line="240" w:lineRule="auto"/>
        <w:rPr>
          <w:b/>
          <w:bCs/>
        </w:rPr>
      </w:pPr>
      <w:r w:rsidRPr="000B6CFA">
        <w:rPr>
          <w:b/>
          <w:bCs/>
          <w:u w:val="single"/>
        </w:rPr>
        <w:t>Waste Disposal:</w:t>
      </w:r>
      <w:r w:rsidRPr="000B6CFA">
        <w:rPr>
          <w:bCs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2"/>
      </w:tblGrid>
      <w:tr w:rsidR="00577322" w:rsidRPr="000B6CFA" w14:paraId="72FA51E6" w14:textId="77777777" w:rsidTr="004A4064">
        <w:tc>
          <w:tcPr>
            <w:tcW w:w="10638" w:type="dxa"/>
          </w:tcPr>
          <w:p w14:paraId="24D74EE4" w14:textId="77777777" w:rsidR="00577322" w:rsidRPr="00E16447" w:rsidRDefault="00041F35" w:rsidP="00041F35">
            <w:pPr>
              <w:spacing w:after="0" w:line="240" w:lineRule="auto"/>
            </w:pPr>
            <w:r>
              <w:t>All empty</w:t>
            </w:r>
            <w:r w:rsidR="00577322">
              <w:t xml:space="preserve"> gas cylinder</w:t>
            </w:r>
            <w:r>
              <w:t>s</w:t>
            </w:r>
            <w:r w:rsidR="00577322">
              <w:t xml:space="preserve">, including any unused gas, </w:t>
            </w:r>
            <w:r>
              <w:t xml:space="preserve">should </w:t>
            </w:r>
            <w:r w:rsidR="00577322">
              <w:t xml:space="preserve">be returned to the vendor from which the cylinder was purchased.  OESO Environmental Programs should also be contacted </w:t>
            </w:r>
            <w:r w:rsidR="00545C0A">
              <w:t xml:space="preserve">at 919-684-2794 </w:t>
            </w:r>
            <w:r w:rsidR="00577322">
              <w:t>to determine if the gas can be exhausted or if scrubbers are needed.</w:t>
            </w:r>
          </w:p>
        </w:tc>
      </w:tr>
    </w:tbl>
    <w:p w14:paraId="0824D2EE" w14:textId="77777777" w:rsidR="00577322" w:rsidRPr="000B6CFA" w:rsidRDefault="00577322" w:rsidP="00577322">
      <w:pPr>
        <w:spacing w:after="0" w:line="240" w:lineRule="auto"/>
        <w:rPr>
          <w:b/>
          <w:bCs/>
        </w:rPr>
      </w:pPr>
    </w:p>
    <w:p w14:paraId="07BC9702" w14:textId="77777777" w:rsidR="00577322" w:rsidRPr="000B6CFA" w:rsidRDefault="00577322" w:rsidP="00577322">
      <w:pPr>
        <w:numPr>
          <w:ilvl w:val="0"/>
          <w:numId w:val="4"/>
        </w:numPr>
        <w:spacing w:after="0" w:line="240" w:lineRule="auto"/>
        <w:rPr>
          <w:b/>
          <w:bCs/>
        </w:rPr>
      </w:pPr>
      <w:r w:rsidRPr="000B6CFA">
        <w:rPr>
          <w:b/>
          <w:bCs/>
          <w:u w:val="single"/>
        </w:rPr>
        <w:t>Exposures/Unintended contact:</w:t>
      </w:r>
      <w:r w:rsidRPr="000B6CFA">
        <w:rPr>
          <w:bCs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30"/>
      </w:tblGrid>
      <w:tr w:rsidR="00577322" w:rsidRPr="000B6CFA" w14:paraId="6C38516B" w14:textId="77777777" w:rsidTr="004A4064">
        <w:tc>
          <w:tcPr>
            <w:tcW w:w="10656" w:type="dxa"/>
          </w:tcPr>
          <w:p w14:paraId="68F9D116" w14:textId="77777777" w:rsidR="00577322" w:rsidRDefault="00577322" w:rsidP="004A4064">
            <w:pPr>
              <w:spacing w:after="0" w:line="240" w:lineRule="auto"/>
              <w:rPr>
                <w:bCs/>
              </w:rPr>
            </w:pPr>
            <w:r w:rsidRPr="000B6CFA">
              <w:rPr>
                <w:bCs/>
              </w:rPr>
              <w:t xml:space="preserve">Contact Employee Occupational Health and Wellness (EOHW) at </w:t>
            </w:r>
            <w:r w:rsidR="001D7A2D">
              <w:rPr>
                <w:bCs/>
              </w:rPr>
              <w:t>919-</w:t>
            </w:r>
            <w:r w:rsidRPr="000B6CFA">
              <w:rPr>
                <w:bCs/>
              </w:rPr>
              <w:t>684-3136 for medical advice on occupational chemical exposures.  For an actual chemical exposure</w:t>
            </w:r>
            <w:r w:rsidR="00041F35">
              <w:rPr>
                <w:bCs/>
              </w:rPr>
              <w:t>:</w:t>
            </w:r>
          </w:p>
          <w:p w14:paraId="52D71D05" w14:textId="77777777" w:rsidR="00577322" w:rsidRDefault="00577322" w:rsidP="00577322">
            <w:pPr>
              <w:numPr>
                <w:ilvl w:val="0"/>
                <w:numId w:val="2"/>
              </w:numPr>
              <w:spacing w:after="0" w:line="240" w:lineRule="auto"/>
              <w:ind w:left="360"/>
            </w:pPr>
            <w:r>
              <w:t>Remove all persons from the contaminated area. (It may be necessary to go outside.</w:t>
            </w:r>
            <w:r w:rsidR="00323264">
              <w:t>)</w:t>
            </w:r>
            <w:r>
              <w:t xml:space="preserve"> </w:t>
            </w:r>
          </w:p>
          <w:p w14:paraId="21813577" w14:textId="77777777" w:rsidR="00577322" w:rsidRDefault="00577322" w:rsidP="00577322">
            <w:pPr>
              <w:numPr>
                <w:ilvl w:val="0"/>
                <w:numId w:val="2"/>
              </w:numPr>
              <w:spacing w:after="0" w:line="240" w:lineRule="auto"/>
              <w:ind w:left="360"/>
            </w:pPr>
            <w:r>
              <w:t xml:space="preserve">Call 911 from a campus phone or </w:t>
            </w:r>
            <w:r w:rsidR="001D7A2D">
              <w:t>919-</w:t>
            </w:r>
            <w:r>
              <w:t xml:space="preserve">684-2444 from any phone to request assistance if needed. Contact Employee Occupational Health and Wellness at </w:t>
            </w:r>
            <w:r w:rsidR="001D7A2D">
              <w:t>919-</w:t>
            </w:r>
            <w:r>
              <w:t>684-8115 for exposure-related advice.</w:t>
            </w:r>
          </w:p>
          <w:p w14:paraId="74ECD83D" w14:textId="77777777" w:rsidR="00041F35" w:rsidRDefault="00041F35" w:rsidP="00577322">
            <w:pPr>
              <w:numPr>
                <w:ilvl w:val="0"/>
                <w:numId w:val="2"/>
              </w:numPr>
              <w:spacing w:after="0" w:line="240" w:lineRule="auto"/>
              <w:ind w:left="360"/>
            </w:pPr>
            <w:r w:rsidRPr="00041F35">
              <w:rPr>
                <w:b/>
              </w:rPr>
              <w:t>Eye Contact</w:t>
            </w:r>
            <w:r>
              <w:t xml:space="preserve">:  </w:t>
            </w:r>
            <w:r w:rsidR="00DC18E9">
              <w:t>I</w:t>
            </w:r>
            <w:r>
              <w:t>mmediately flush eyes at an eyewash station for a</w:t>
            </w:r>
            <w:r w:rsidR="00DC18E9">
              <w:t xml:space="preserve">t least 15 minutes.  </w:t>
            </w:r>
            <w:r>
              <w:t>Get medical attention immediately.</w:t>
            </w:r>
            <w:r w:rsidR="00DC18E9">
              <w:t xml:space="preserve">  Continue rinsing eyes during transport to hospital.</w:t>
            </w:r>
          </w:p>
          <w:p w14:paraId="3D309D56" w14:textId="77777777" w:rsidR="00041F35" w:rsidRDefault="00041F35" w:rsidP="00577322">
            <w:pPr>
              <w:numPr>
                <w:ilvl w:val="0"/>
                <w:numId w:val="2"/>
              </w:numPr>
              <w:spacing w:after="0" w:line="240" w:lineRule="auto"/>
              <w:ind w:left="360"/>
            </w:pPr>
            <w:r w:rsidRPr="00041F35">
              <w:rPr>
                <w:b/>
              </w:rPr>
              <w:t>Skin Contact</w:t>
            </w:r>
            <w:r>
              <w:t xml:space="preserve">:  </w:t>
            </w:r>
            <w:r w:rsidR="00DC18E9">
              <w:t>Take off contaminated clothing and shoes i</w:t>
            </w:r>
            <w:r>
              <w:t xml:space="preserve">mmediately </w:t>
            </w:r>
            <w:r w:rsidR="00DC18E9">
              <w:t xml:space="preserve">and wash off with soap and plenty of water.  </w:t>
            </w:r>
            <w:r>
              <w:t>Get medical attention immediately.</w:t>
            </w:r>
          </w:p>
          <w:p w14:paraId="0D10CBC7" w14:textId="77777777" w:rsidR="00041F35" w:rsidRDefault="00041F35" w:rsidP="00577322">
            <w:pPr>
              <w:numPr>
                <w:ilvl w:val="0"/>
                <w:numId w:val="2"/>
              </w:numPr>
              <w:spacing w:after="0" w:line="240" w:lineRule="auto"/>
              <w:ind w:left="360"/>
            </w:pPr>
            <w:r w:rsidRPr="00041F35">
              <w:rPr>
                <w:b/>
              </w:rPr>
              <w:t>Inhalation</w:t>
            </w:r>
            <w:r>
              <w:t xml:space="preserve">:  Moved exposed person to fresh air.  </w:t>
            </w:r>
            <w:r w:rsidR="00DC18E9">
              <w:t xml:space="preserve">If not breathing, give artificial respiration.  </w:t>
            </w:r>
            <w:r>
              <w:t>Get medical attention immediately.</w:t>
            </w:r>
          </w:p>
          <w:p w14:paraId="58665B79" w14:textId="77777777" w:rsidR="00041F35" w:rsidRPr="00041F35" w:rsidRDefault="00171BB3" w:rsidP="00041F35">
            <w:pPr>
              <w:numPr>
                <w:ilvl w:val="0"/>
                <w:numId w:val="2"/>
              </w:numPr>
              <w:spacing w:after="0" w:line="240" w:lineRule="auto"/>
              <w:ind w:left="360"/>
            </w:pPr>
            <w:r>
              <w:rPr>
                <w:bCs/>
              </w:rPr>
              <w:t>Within 24 hours, complete t</w:t>
            </w:r>
            <w:r w:rsidR="00577322" w:rsidRPr="00041F35">
              <w:rPr>
                <w:bCs/>
              </w:rPr>
              <w:t xml:space="preserve">he work-related injury or illness report found at: </w:t>
            </w:r>
            <w:hyperlink r:id="rId11" w:history="1">
              <w:r w:rsidR="0000129F" w:rsidRPr="00041F35">
                <w:rPr>
                  <w:rStyle w:val="Hyperlink"/>
                  <w:bCs/>
                </w:rPr>
                <w:t>http://www.hr.duke.edu/benefits/medical/workcomp/report.php</w:t>
              </w:r>
            </w:hyperlink>
            <w:r w:rsidR="00577322" w:rsidRPr="00041F35">
              <w:rPr>
                <w:bCs/>
              </w:rPr>
              <w:t>.</w:t>
            </w:r>
          </w:p>
          <w:p w14:paraId="69D0040D" w14:textId="77777777" w:rsidR="00577322" w:rsidRPr="00041F35" w:rsidRDefault="00577322" w:rsidP="00041F35">
            <w:pPr>
              <w:numPr>
                <w:ilvl w:val="0"/>
                <w:numId w:val="2"/>
              </w:numPr>
              <w:spacing w:after="0" w:line="240" w:lineRule="auto"/>
              <w:ind w:left="360"/>
            </w:pPr>
            <w:r w:rsidRPr="00041F35">
              <w:rPr>
                <w:bCs/>
              </w:rPr>
              <w:t>Follow-up medical attention should be sought through Duke Employee Occupational Health and Wellness (</w:t>
            </w:r>
            <w:r w:rsidR="001D7A2D" w:rsidRPr="00041F35">
              <w:rPr>
                <w:bCs/>
              </w:rPr>
              <w:t>919-</w:t>
            </w:r>
            <w:r w:rsidRPr="00041F35">
              <w:rPr>
                <w:bCs/>
              </w:rPr>
              <w:t>684-3136).</w:t>
            </w:r>
          </w:p>
        </w:tc>
      </w:tr>
    </w:tbl>
    <w:p w14:paraId="479868E3" w14:textId="77777777" w:rsidR="00577322" w:rsidRPr="000B6CFA" w:rsidRDefault="00577322" w:rsidP="00577322">
      <w:pPr>
        <w:spacing w:after="0" w:line="240" w:lineRule="auto"/>
        <w:ind w:left="360"/>
        <w:rPr>
          <w:bCs/>
        </w:rPr>
      </w:pPr>
    </w:p>
    <w:p w14:paraId="3CFC9F69" w14:textId="77777777" w:rsidR="00577322" w:rsidRPr="000B6CFA" w:rsidRDefault="00577322" w:rsidP="00577322">
      <w:pPr>
        <w:numPr>
          <w:ilvl w:val="0"/>
          <w:numId w:val="4"/>
        </w:numPr>
        <w:spacing w:after="0" w:line="240" w:lineRule="auto"/>
        <w:rPr>
          <w:bCs/>
        </w:rPr>
      </w:pPr>
      <w:r>
        <w:rPr>
          <w:b/>
          <w:bCs/>
          <w:u w:val="single"/>
        </w:rPr>
        <w:t>Emergency/Release</w:t>
      </w:r>
      <w:r w:rsidRPr="000B6CFA">
        <w:rPr>
          <w:b/>
          <w:bCs/>
          <w:u w:val="single"/>
        </w:rPr>
        <w:t xml:space="preserve"> Procedure: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2"/>
      </w:tblGrid>
      <w:tr w:rsidR="00577322" w:rsidRPr="000B6CFA" w14:paraId="37DEA82D" w14:textId="77777777" w:rsidTr="004A4064">
        <w:tc>
          <w:tcPr>
            <w:tcW w:w="10638" w:type="dxa"/>
          </w:tcPr>
          <w:p w14:paraId="427C5BE8" w14:textId="77777777" w:rsidR="00577322" w:rsidRPr="000B6CFA" w:rsidRDefault="00577322" w:rsidP="004A4064">
            <w:pPr>
              <w:spacing w:after="0" w:line="240" w:lineRule="auto"/>
              <w:rPr>
                <w:bCs/>
              </w:rPr>
            </w:pPr>
            <w:r w:rsidRPr="000B6CFA">
              <w:rPr>
                <w:bCs/>
              </w:rPr>
              <w:t xml:space="preserve">On the Durham campus, </w:t>
            </w:r>
            <w:r>
              <w:rPr>
                <w:bCs/>
              </w:rPr>
              <w:t xml:space="preserve">any uncontained release of toxic gases </w:t>
            </w:r>
            <w:r w:rsidRPr="000B6CFA">
              <w:rPr>
                <w:bCs/>
              </w:rPr>
              <w:t xml:space="preserve">must be referred to the OESO spill response team by calling </w:t>
            </w:r>
            <w:r w:rsidR="00171BB3">
              <w:rPr>
                <w:bCs/>
              </w:rPr>
              <w:t xml:space="preserve">Duke Police at </w:t>
            </w:r>
            <w:r w:rsidRPr="000B6CFA">
              <w:rPr>
                <w:bCs/>
              </w:rPr>
              <w:t xml:space="preserve">911 from a campus phone or </w:t>
            </w:r>
            <w:r w:rsidR="001D7A2D">
              <w:rPr>
                <w:bCs/>
              </w:rPr>
              <w:t>919-</w:t>
            </w:r>
            <w:r w:rsidRPr="000B6CFA">
              <w:rPr>
                <w:bCs/>
              </w:rPr>
              <w:t>684-2444 from any phone.</w:t>
            </w:r>
          </w:p>
        </w:tc>
      </w:tr>
    </w:tbl>
    <w:p w14:paraId="73E69877" w14:textId="77777777" w:rsidR="00577322" w:rsidRPr="000B6CFA" w:rsidRDefault="00577322" w:rsidP="00577322">
      <w:pPr>
        <w:spacing w:after="0" w:line="240" w:lineRule="auto"/>
        <w:rPr>
          <w:bCs/>
        </w:rPr>
      </w:pPr>
    </w:p>
    <w:p w14:paraId="7074106D" w14:textId="77777777" w:rsidR="00577322" w:rsidRPr="000B6CFA" w:rsidRDefault="00577322" w:rsidP="00577322">
      <w:pPr>
        <w:numPr>
          <w:ilvl w:val="0"/>
          <w:numId w:val="4"/>
        </w:numPr>
        <w:spacing w:after="0" w:line="240" w:lineRule="auto"/>
        <w:rPr>
          <w:bCs/>
        </w:rPr>
      </w:pPr>
      <w:r w:rsidRPr="000B6CFA">
        <w:rPr>
          <w:b/>
          <w:bCs/>
          <w:u w:val="single"/>
        </w:rPr>
        <w:t>Training of personnel</w:t>
      </w:r>
      <w:r w:rsidRPr="000B6CFA">
        <w:rPr>
          <w:b/>
          <w:u w:val="single"/>
        </w:rPr>
        <w:t>:</w:t>
      </w:r>
      <w:r w:rsidRPr="000B6CFA">
        <w:t xml:space="preserve"> 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2"/>
      </w:tblGrid>
      <w:tr w:rsidR="00577322" w:rsidRPr="000B6CFA" w14:paraId="688F502C" w14:textId="77777777" w:rsidTr="004A4064">
        <w:tc>
          <w:tcPr>
            <w:tcW w:w="10638" w:type="dxa"/>
          </w:tcPr>
          <w:p w14:paraId="2FA727E6" w14:textId="77777777" w:rsidR="005B4D12" w:rsidRDefault="00577322" w:rsidP="00EB3A44">
            <w:pPr>
              <w:numPr>
                <w:ilvl w:val="0"/>
                <w:numId w:val="5"/>
              </w:numPr>
              <w:spacing w:after="0" w:line="240" w:lineRule="auto"/>
              <w:ind w:left="360"/>
            </w:pPr>
            <w:r w:rsidRPr="000B6CFA">
              <w:t xml:space="preserve">All personnel are required to complete the online General Lab Safety session thru the OESO website.  This session includes an introduction to general chemical safety.  </w:t>
            </w:r>
          </w:p>
          <w:p w14:paraId="3AB27799" w14:textId="77777777" w:rsidR="00EB3A44" w:rsidRPr="00EB3A44" w:rsidRDefault="00EB3A44" w:rsidP="00EB3A44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</w:rPr>
            </w:pPr>
            <w:r>
              <w:t>T</w:t>
            </w:r>
            <w:r w:rsidR="005B4D12">
              <w:t xml:space="preserve">raining on </w:t>
            </w:r>
            <w:r w:rsidR="00041F35" w:rsidRPr="00041F35">
              <w:rPr>
                <w:b/>
              </w:rPr>
              <w:t>phosgene</w:t>
            </w:r>
            <w:r w:rsidR="005B4D12">
              <w:t>-</w:t>
            </w:r>
            <w:r w:rsidR="005B4D12" w:rsidRPr="005B4D12">
              <w:t xml:space="preserve">specific procedures must be performed by the PI or knowledgeable designee for all personnel working with </w:t>
            </w:r>
            <w:r w:rsidRPr="00EB3A44">
              <w:rPr>
                <w:b/>
              </w:rPr>
              <w:t>phosgene</w:t>
            </w:r>
            <w:r w:rsidR="005B4D12" w:rsidRPr="005B4D12">
              <w:t>, and must be documented (topics covered</w:t>
            </w:r>
            <w:r w:rsidR="00323264">
              <w:t>,</w:t>
            </w:r>
            <w:r w:rsidR="005B4D12" w:rsidRPr="005B4D12">
              <w:t xml:space="preserve"> date, employee names and signatures).</w:t>
            </w:r>
            <w:r w:rsidR="005B4D12">
              <w:t xml:space="preserve"> </w:t>
            </w:r>
          </w:p>
          <w:p w14:paraId="6BA308A3" w14:textId="77777777" w:rsidR="00577322" w:rsidRPr="00495CBE" w:rsidRDefault="005B4D12" w:rsidP="00C9565F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b/>
              </w:rPr>
            </w:pPr>
            <w:r>
              <w:t>A</w:t>
            </w:r>
            <w:r w:rsidR="00577322" w:rsidRPr="000B6CFA">
              <w:t xml:space="preserve">ll personnel shall read and fully adhere to </w:t>
            </w:r>
            <w:r w:rsidR="00C9565F">
              <w:t>this</w:t>
            </w:r>
            <w:r w:rsidR="00577322">
              <w:t xml:space="preserve"> SOP for </w:t>
            </w:r>
            <w:r w:rsidR="00EB3A44" w:rsidRPr="00EB3A44">
              <w:rPr>
                <w:b/>
              </w:rPr>
              <w:t>phosgene</w:t>
            </w:r>
            <w:r w:rsidR="00041F35">
              <w:rPr>
                <w:b/>
              </w:rPr>
              <w:t xml:space="preserve"> gas</w:t>
            </w:r>
            <w:r w:rsidR="00577322">
              <w:t>, and shall document that they have read it by signing and dating the SOP.</w:t>
            </w:r>
          </w:p>
        </w:tc>
      </w:tr>
    </w:tbl>
    <w:p w14:paraId="5D0384AB" w14:textId="77777777" w:rsidR="00577322" w:rsidRPr="00D11C3C" w:rsidRDefault="00577322" w:rsidP="00577322">
      <w:pPr>
        <w:spacing w:after="0" w:line="240" w:lineRule="auto"/>
      </w:pPr>
    </w:p>
    <w:p w14:paraId="6B058868" w14:textId="77777777" w:rsidR="0062671B" w:rsidRDefault="0062671B" w:rsidP="00577322">
      <w:pPr>
        <w:spacing w:after="0" w:line="240" w:lineRule="auto"/>
      </w:pPr>
      <w:r>
        <w:t>References:</w:t>
      </w:r>
    </w:p>
    <w:p w14:paraId="4E4EFA63" w14:textId="77777777" w:rsidR="0062671B" w:rsidRPr="002B0197" w:rsidRDefault="0062671B" w:rsidP="00577322">
      <w:pPr>
        <w:spacing w:after="0" w:line="240" w:lineRule="auto"/>
        <w:rPr>
          <w:color w:val="000000"/>
          <w:lang w:val="en"/>
        </w:rPr>
      </w:pPr>
      <w:r w:rsidRPr="002B0197">
        <w:rPr>
          <w:vertAlign w:val="superscript"/>
        </w:rPr>
        <w:t>1</w:t>
      </w:r>
      <w:hyperlink r:id="rId12" w:history="1">
        <w:r w:rsidRPr="002B0197">
          <w:rPr>
            <w:rStyle w:val="Hyperlink"/>
            <w:lang w:val="en"/>
          </w:rPr>
          <w:t>Phosgene - EPA Air Toxic Web Site</w:t>
        </w:r>
      </w:hyperlink>
      <w:r w:rsidRPr="002B0197">
        <w:rPr>
          <w:color w:val="000000"/>
          <w:lang w:val="en"/>
        </w:rPr>
        <w:t xml:space="preserve"> </w:t>
      </w:r>
    </w:p>
    <w:p w14:paraId="46E88480" w14:textId="77777777" w:rsidR="0062671B" w:rsidRPr="002B0197" w:rsidRDefault="0062671B" w:rsidP="00577322">
      <w:pPr>
        <w:spacing w:after="0" w:line="240" w:lineRule="auto"/>
      </w:pPr>
      <w:r w:rsidRPr="002B0197">
        <w:rPr>
          <w:vertAlign w:val="superscript"/>
        </w:rPr>
        <w:t>2</w:t>
      </w:r>
      <w:r w:rsidRPr="002B0197">
        <w:t>Sigma-Aldrich SDS product#79372</w:t>
      </w:r>
    </w:p>
    <w:p w14:paraId="613008DA" w14:textId="77777777" w:rsidR="00577322" w:rsidRDefault="0062671B" w:rsidP="00577322">
      <w:pPr>
        <w:spacing w:after="0" w:line="240" w:lineRule="auto"/>
      </w:pPr>
      <w:r w:rsidRPr="0062671B">
        <w:rPr>
          <w:vertAlign w:val="superscript"/>
        </w:rPr>
        <w:t>3</w:t>
      </w:r>
      <w:r>
        <w:t>EPA-450/4-84-007i_1985_pg.21</w:t>
      </w:r>
      <w:r w:rsidR="00991F35">
        <w:br w:type="page"/>
      </w:r>
    </w:p>
    <w:p w14:paraId="0AD071AF" w14:textId="77777777" w:rsidR="001070BA" w:rsidRDefault="001070BA" w:rsidP="001070BA">
      <w:pPr>
        <w:jc w:val="center"/>
        <w:rPr>
          <w:b/>
        </w:rPr>
      </w:pPr>
      <w:r w:rsidRPr="004163DE">
        <w:rPr>
          <w:b/>
        </w:rPr>
        <w:t>“I have read and understand this SOP. I agree to fully adhere to its requirements.”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6"/>
        <w:gridCol w:w="2113"/>
        <w:gridCol w:w="1592"/>
        <w:gridCol w:w="3261"/>
        <w:gridCol w:w="1608"/>
      </w:tblGrid>
      <w:tr w:rsidR="001070BA" w:rsidRPr="00BA0CAC" w14:paraId="250E21AB" w14:textId="77777777" w:rsidTr="00A1650F">
        <w:tc>
          <w:tcPr>
            <w:tcW w:w="2268" w:type="dxa"/>
            <w:vAlign w:val="bottom"/>
          </w:tcPr>
          <w:p w14:paraId="79A5FBEC" w14:textId="77777777" w:rsidR="001070BA" w:rsidRPr="00BA0CAC" w:rsidRDefault="001070BA" w:rsidP="00A1650F">
            <w:pPr>
              <w:spacing w:after="0" w:line="240" w:lineRule="auto"/>
              <w:jc w:val="center"/>
              <w:rPr>
                <w:b/>
              </w:rPr>
            </w:pPr>
            <w:r w:rsidRPr="00BA0CAC">
              <w:rPr>
                <w:b/>
              </w:rPr>
              <w:t>Last</w:t>
            </w:r>
          </w:p>
        </w:tc>
        <w:tc>
          <w:tcPr>
            <w:tcW w:w="2160" w:type="dxa"/>
            <w:vAlign w:val="bottom"/>
          </w:tcPr>
          <w:p w14:paraId="6FBE7329" w14:textId="77777777" w:rsidR="001070BA" w:rsidRPr="00BA0CAC" w:rsidRDefault="001070BA" w:rsidP="00A1650F">
            <w:pPr>
              <w:spacing w:after="0" w:line="240" w:lineRule="auto"/>
              <w:jc w:val="center"/>
              <w:rPr>
                <w:b/>
              </w:rPr>
            </w:pPr>
            <w:r w:rsidRPr="00BA0CAC">
              <w:rPr>
                <w:b/>
              </w:rPr>
              <w:t>First</w:t>
            </w:r>
          </w:p>
        </w:tc>
        <w:tc>
          <w:tcPr>
            <w:tcW w:w="1620" w:type="dxa"/>
            <w:vAlign w:val="bottom"/>
          </w:tcPr>
          <w:p w14:paraId="7854D16B" w14:textId="77777777" w:rsidR="001070BA" w:rsidRPr="00BA0CAC" w:rsidRDefault="001070BA" w:rsidP="00A1650F">
            <w:pPr>
              <w:spacing w:after="0" w:line="240" w:lineRule="auto"/>
              <w:jc w:val="center"/>
              <w:rPr>
                <w:b/>
              </w:rPr>
            </w:pPr>
            <w:r w:rsidRPr="00BA0CAC">
              <w:rPr>
                <w:b/>
              </w:rPr>
              <w:t>Duke ID</w:t>
            </w:r>
          </w:p>
        </w:tc>
        <w:tc>
          <w:tcPr>
            <w:tcW w:w="3330" w:type="dxa"/>
            <w:vAlign w:val="bottom"/>
          </w:tcPr>
          <w:p w14:paraId="68F2FADE" w14:textId="77777777" w:rsidR="001070BA" w:rsidRPr="00BA0CAC" w:rsidRDefault="001070BA" w:rsidP="00A1650F">
            <w:pPr>
              <w:spacing w:after="0" w:line="240" w:lineRule="auto"/>
              <w:jc w:val="center"/>
              <w:rPr>
                <w:b/>
              </w:rPr>
            </w:pPr>
            <w:r w:rsidRPr="00BA0CAC">
              <w:rPr>
                <w:b/>
              </w:rPr>
              <w:t>Signature</w:t>
            </w:r>
          </w:p>
        </w:tc>
        <w:tc>
          <w:tcPr>
            <w:tcW w:w="1638" w:type="dxa"/>
          </w:tcPr>
          <w:p w14:paraId="4C8F005F" w14:textId="77777777" w:rsidR="001070BA" w:rsidRPr="00BA0CAC" w:rsidRDefault="001070BA" w:rsidP="00A1650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070BA" w:rsidRPr="00BA0CAC" w14:paraId="2A5BAE5C" w14:textId="77777777" w:rsidTr="00A1650F">
        <w:trPr>
          <w:trHeight w:val="432"/>
        </w:trPr>
        <w:tc>
          <w:tcPr>
            <w:tcW w:w="2268" w:type="dxa"/>
          </w:tcPr>
          <w:p w14:paraId="2A2E58D7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4F130107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271B49FA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14:paraId="5CF1CCE4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14:paraId="434E3533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1070BA" w:rsidRPr="00BA0CAC" w14:paraId="0AB4B55E" w14:textId="77777777" w:rsidTr="00A1650F">
        <w:trPr>
          <w:trHeight w:val="432"/>
        </w:trPr>
        <w:tc>
          <w:tcPr>
            <w:tcW w:w="2268" w:type="dxa"/>
          </w:tcPr>
          <w:p w14:paraId="1A3CC82E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28D84E80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0D484A69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14:paraId="295B63AE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14:paraId="320BD344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1070BA" w:rsidRPr="00BA0CAC" w14:paraId="0E1296B3" w14:textId="77777777" w:rsidTr="00A1650F">
        <w:trPr>
          <w:trHeight w:val="432"/>
        </w:trPr>
        <w:tc>
          <w:tcPr>
            <w:tcW w:w="2268" w:type="dxa"/>
          </w:tcPr>
          <w:p w14:paraId="519E8C92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4A83AA6F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382E45A8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14:paraId="623315FF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14:paraId="5CDFBAEA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1070BA" w:rsidRPr="00BA0CAC" w14:paraId="3F5E1F21" w14:textId="77777777" w:rsidTr="00A1650F">
        <w:trPr>
          <w:trHeight w:val="432"/>
        </w:trPr>
        <w:tc>
          <w:tcPr>
            <w:tcW w:w="2268" w:type="dxa"/>
          </w:tcPr>
          <w:p w14:paraId="7A2C15E2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08507C89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12C649F2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14:paraId="5C0F88E7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14:paraId="5B03E467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1070BA" w:rsidRPr="00BA0CAC" w14:paraId="1260B172" w14:textId="77777777" w:rsidTr="00A1650F">
        <w:trPr>
          <w:trHeight w:val="432"/>
        </w:trPr>
        <w:tc>
          <w:tcPr>
            <w:tcW w:w="2268" w:type="dxa"/>
          </w:tcPr>
          <w:p w14:paraId="18DD1B6B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757196F5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21B932F6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14:paraId="58E4C7E1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14:paraId="5BD4EBA3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1070BA" w:rsidRPr="00BA0CAC" w14:paraId="7FC6B716" w14:textId="77777777" w:rsidTr="00A1650F">
        <w:trPr>
          <w:trHeight w:val="432"/>
        </w:trPr>
        <w:tc>
          <w:tcPr>
            <w:tcW w:w="2268" w:type="dxa"/>
          </w:tcPr>
          <w:p w14:paraId="2284251A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4290233F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2EA508B2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14:paraId="0C4B6238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14:paraId="4303B1BF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1070BA" w:rsidRPr="00BA0CAC" w14:paraId="199AB87E" w14:textId="77777777" w:rsidTr="00A1650F">
        <w:trPr>
          <w:trHeight w:val="432"/>
        </w:trPr>
        <w:tc>
          <w:tcPr>
            <w:tcW w:w="2268" w:type="dxa"/>
          </w:tcPr>
          <w:p w14:paraId="056ACADF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6CF5747F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1F8321C7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14:paraId="04B389AB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14:paraId="76B50556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1070BA" w:rsidRPr="00BA0CAC" w14:paraId="348C12A0" w14:textId="77777777" w:rsidTr="00A1650F">
        <w:trPr>
          <w:trHeight w:val="432"/>
        </w:trPr>
        <w:tc>
          <w:tcPr>
            <w:tcW w:w="2268" w:type="dxa"/>
          </w:tcPr>
          <w:p w14:paraId="5FA4842D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14:paraId="456F9A59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14:paraId="658126AA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14:paraId="26B53BE6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14:paraId="11C7AEDD" w14:textId="77777777" w:rsidR="001070BA" w:rsidRPr="00BA0CAC" w:rsidRDefault="001070BA" w:rsidP="00A16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CB362C2" w14:textId="77777777" w:rsidR="004759C0" w:rsidRDefault="004759C0" w:rsidP="001070BA">
      <w:pPr>
        <w:jc w:val="center"/>
      </w:pPr>
    </w:p>
    <w:sectPr w:rsidR="004759C0" w:rsidSect="00577322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B68DE" w14:textId="77777777" w:rsidR="00EB1055" w:rsidRDefault="00EB1055" w:rsidP="00EB1055">
      <w:pPr>
        <w:spacing w:after="0" w:line="240" w:lineRule="auto"/>
      </w:pPr>
      <w:r>
        <w:separator/>
      </w:r>
    </w:p>
  </w:endnote>
  <w:endnote w:type="continuationSeparator" w:id="0">
    <w:p w14:paraId="28DEECFC" w14:textId="77777777" w:rsidR="00EB1055" w:rsidRDefault="00EB1055" w:rsidP="00EB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B7468" w14:textId="20D4A533" w:rsidR="00EB1055" w:rsidRDefault="00EB1055">
    <w:pPr>
      <w:pStyle w:val="Footer"/>
    </w:pPr>
    <w:r>
      <w:t>Updated 1-</w:t>
    </w:r>
    <w:r w:rsidR="00D71FBC">
      <w:t>26</w:t>
    </w:r>
    <w:r>
      <w:t>-2023 to show 2022 updated ACGIH TLV, update hazards to better align with GHS and to update the header.</w:t>
    </w:r>
  </w:p>
  <w:p w14:paraId="066E3088" w14:textId="77777777" w:rsidR="00EB1055" w:rsidRDefault="00EB1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226E3" w14:textId="77777777" w:rsidR="00EB1055" w:rsidRDefault="00EB1055" w:rsidP="00EB1055">
      <w:pPr>
        <w:spacing w:after="0" w:line="240" w:lineRule="auto"/>
      </w:pPr>
      <w:r>
        <w:separator/>
      </w:r>
    </w:p>
  </w:footnote>
  <w:footnote w:type="continuationSeparator" w:id="0">
    <w:p w14:paraId="022DF749" w14:textId="77777777" w:rsidR="00EB1055" w:rsidRDefault="00EB1055" w:rsidP="00EB1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564D"/>
    <w:multiLevelType w:val="hybridMultilevel"/>
    <w:tmpl w:val="26EA4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C679D"/>
    <w:multiLevelType w:val="hybridMultilevel"/>
    <w:tmpl w:val="678CFDF2"/>
    <w:lvl w:ilvl="0" w:tplc="3EF0C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32773"/>
    <w:multiLevelType w:val="hybridMultilevel"/>
    <w:tmpl w:val="4A10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F72CD"/>
    <w:multiLevelType w:val="hybridMultilevel"/>
    <w:tmpl w:val="7B8C33E0"/>
    <w:lvl w:ilvl="0" w:tplc="2BD4B392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C56E9B"/>
    <w:multiLevelType w:val="hybridMultilevel"/>
    <w:tmpl w:val="A7D4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02192"/>
    <w:multiLevelType w:val="hybridMultilevel"/>
    <w:tmpl w:val="D4F2C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00094"/>
    <w:multiLevelType w:val="hybridMultilevel"/>
    <w:tmpl w:val="A47E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22"/>
    <w:rsid w:val="0000129F"/>
    <w:rsid w:val="00031C83"/>
    <w:rsid w:val="00041F35"/>
    <w:rsid w:val="00093B4C"/>
    <w:rsid w:val="000D6FF3"/>
    <w:rsid w:val="001070BA"/>
    <w:rsid w:val="00123FD3"/>
    <w:rsid w:val="00133E2A"/>
    <w:rsid w:val="00171BB3"/>
    <w:rsid w:val="00175B38"/>
    <w:rsid w:val="001A30BC"/>
    <w:rsid w:val="001D7A2D"/>
    <w:rsid w:val="00210B4F"/>
    <w:rsid w:val="00221702"/>
    <w:rsid w:val="002248CA"/>
    <w:rsid w:val="002B0197"/>
    <w:rsid w:val="00320E20"/>
    <w:rsid w:val="00323264"/>
    <w:rsid w:val="003305B5"/>
    <w:rsid w:val="0033364A"/>
    <w:rsid w:val="00346D0A"/>
    <w:rsid w:val="003811FB"/>
    <w:rsid w:val="003A6D60"/>
    <w:rsid w:val="003E536B"/>
    <w:rsid w:val="0041009F"/>
    <w:rsid w:val="004759C0"/>
    <w:rsid w:val="004A2F13"/>
    <w:rsid w:val="004A4064"/>
    <w:rsid w:val="00503283"/>
    <w:rsid w:val="00523BC4"/>
    <w:rsid w:val="00524A86"/>
    <w:rsid w:val="00533189"/>
    <w:rsid w:val="0053620B"/>
    <w:rsid w:val="00545C0A"/>
    <w:rsid w:val="00577322"/>
    <w:rsid w:val="005B4D12"/>
    <w:rsid w:val="005C1B51"/>
    <w:rsid w:val="00604A81"/>
    <w:rsid w:val="0062671B"/>
    <w:rsid w:val="006667DB"/>
    <w:rsid w:val="0069470D"/>
    <w:rsid w:val="006E072E"/>
    <w:rsid w:val="006F153C"/>
    <w:rsid w:val="00721E7A"/>
    <w:rsid w:val="007457E2"/>
    <w:rsid w:val="00775961"/>
    <w:rsid w:val="007B093E"/>
    <w:rsid w:val="007C5071"/>
    <w:rsid w:val="007C630B"/>
    <w:rsid w:val="008801FE"/>
    <w:rsid w:val="008E6804"/>
    <w:rsid w:val="009175D1"/>
    <w:rsid w:val="00991F35"/>
    <w:rsid w:val="00A1650F"/>
    <w:rsid w:val="00A27CF1"/>
    <w:rsid w:val="00B07941"/>
    <w:rsid w:val="00B2015F"/>
    <w:rsid w:val="00B416AD"/>
    <w:rsid w:val="00B47875"/>
    <w:rsid w:val="00B61C1F"/>
    <w:rsid w:val="00B72CE6"/>
    <w:rsid w:val="00BB43DB"/>
    <w:rsid w:val="00C052B2"/>
    <w:rsid w:val="00C17421"/>
    <w:rsid w:val="00C42CF4"/>
    <w:rsid w:val="00C74481"/>
    <w:rsid w:val="00C9565F"/>
    <w:rsid w:val="00D05FE9"/>
    <w:rsid w:val="00D144B8"/>
    <w:rsid w:val="00D42A58"/>
    <w:rsid w:val="00D71FBC"/>
    <w:rsid w:val="00D93520"/>
    <w:rsid w:val="00DC18E9"/>
    <w:rsid w:val="00DC2348"/>
    <w:rsid w:val="00DE11C8"/>
    <w:rsid w:val="00DE174B"/>
    <w:rsid w:val="00DE4BC4"/>
    <w:rsid w:val="00DF1F94"/>
    <w:rsid w:val="00DF6D7F"/>
    <w:rsid w:val="00E13912"/>
    <w:rsid w:val="00E51749"/>
    <w:rsid w:val="00EA388D"/>
    <w:rsid w:val="00EB1055"/>
    <w:rsid w:val="00EB3A44"/>
    <w:rsid w:val="00EE4B44"/>
    <w:rsid w:val="00EF5F2B"/>
    <w:rsid w:val="00EF794C"/>
    <w:rsid w:val="00F536E2"/>
    <w:rsid w:val="00F74B20"/>
    <w:rsid w:val="00FD61F7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8DA4B"/>
  <w15:chartTrackingRefBased/>
  <w15:docId w15:val="{4C2D3BE6-7CB3-4C87-81E5-D2FFB0C9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3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77322"/>
    <w:rPr>
      <w:color w:val="0000EE"/>
      <w:u w:val="single"/>
    </w:rPr>
  </w:style>
  <w:style w:type="table" w:styleId="TableGrid">
    <w:name w:val="Table Grid"/>
    <w:basedOn w:val="TableNormal"/>
    <w:uiPriority w:val="59"/>
    <w:rsid w:val="00991F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DC234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44B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C1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8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8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C18E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B1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05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1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05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80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pa.gov/ttnatw01/hlthef/phosgen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r.duke.edu/benefits/medical/workcomp/report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ubchem.ncbi.nlm.nih.gov/compound/637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2B32-16FF-495C-95CC-33D0410D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Toxic Gases SOP template</vt:lpstr>
    </vt:vector>
  </TitlesOfParts>
  <Company>OESO - DUHS</Company>
  <LinksUpToDate>false</LinksUpToDate>
  <CharactersWithSpaces>8242</CharactersWithSpaces>
  <SharedDoc>false</SharedDoc>
  <HLinks>
    <vt:vector size="18" baseType="variant">
      <vt:variant>
        <vt:i4>852053</vt:i4>
      </vt:variant>
      <vt:variant>
        <vt:i4>12</vt:i4>
      </vt:variant>
      <vt:variant>
        <vt:i4>0</vt:i4>
      </vt:variant>
      <vt:variant>
        <vt:i4>5</vt:i4>
      </vt:variant>
      <vt:variant>
        <vt:lpwstr>http://www.epa.gov/ttnatw01/hlthef/phosgene.html</vt:lpwstr>
      </vt:variant>
      <vt:variant>
        <vt:lpwstr/>
      </vt:variant>
      <vt:variant>
        <vt:i4>3342462</vt:i4>
      </vt:variant>
      <vt:variant>
        <vt:i4>9</vt:i4>
      </vt:variant>
      <vt:variant>
        <vt:i4>0</vt:i4>
      </vt:variant>
      <vt:variant>
        <vt:i4>5</vt:i4>
      </vt:variant>
      <vt:variant>
        <vt:lpwstr>http://www.hr.duke.edu/benefits/medical/workcomp/report.php</vt:lpwstr>
      </vt:variant>
      <vt:variant>
        <vt:lpwstr/>
      </vt:variant>
      <vt:variant>
        <vt:i4>7602178</vt:i4>
      </vt:variant>
      <vt:variant>
        <vt:i4>6</vt:i4>
      </vt:variant>
      <vt:variant>
        <vt:i4>0</vt:i4>
      </vt:variant>
      <vt:variant>
        <vt:i4>5</vt:i4>
      </vt:variant>
      <vt:variant>
        <vt:lpwstr>http://www.nap.edu/openbook.php?record_id=4911&amp;page=378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Toxic Gases SOP template</dc:title>
  <dc:subject/>
  <dc:creator>Courtney Stanion</dc:creator>
  <cp:keywords>toxic gas, toxic gases, PHS gas</cp:keywords>
  <cp:lastModifiedBy>Courtney Stanion</cp:lastModifiedBy>
  <cp:revision>4</cp:revision>
  <dcterms:created xsi:type="dcterms:W3CDTF">2023-01-26T14:01:00Z</dcterms:created>
  <dcterms:modified xsi:type="dcterms:W3CDTF">2023-01-27T14:36:00Z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